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JuSchGDV — Beteiligte, Anregende</w:t>
      </w:r>
    </w:p>
    <w:p>
      <w:r>
        <w:rPr>
          <w:color w:val="555555"/>
          <w:sz w:val="18"/>
        </w:rPr>
        <w:t xml:space="preserve">Verordnung zur Durchführung des Jugendschutzgesetzes</w:t>
      </w:r>
    </w:p>
    <w:p>
      <w:r>
        <w:rPr>
          <w:color w:val="555555"/>
          <w:sz w:val="18"/>
        </w:rPr>
        <w:t xml:space="preserve">Stand: 15.05.2024 (konsolidierte Textfassung, kein amtliches Inkrafttretensdatum)</w:t>
      </w:r>
    </w:p>
    <w:p>
      <w:r>
        <w:t xml:space="preserve">(1) Beteiligte sind in einem Verfahren:</w:t>
      </w:r>
    </w:p>
    <w:p>
      <w:pPr>
        <w:ind w:left="420"/>
      </w:pPr>
      <w:r>
        <w:t xml:space="preserve">1. die Antragstellerin oder der Antragsteller,</w:t>
      </w:r>
    </w:p>
    <w:p>
      <w:pPr>
        <w:ind w:left="420"/>
      </w:pPr>
      <w:r>
        <w:t xml:space="preserve">2. die Urheberin oder der Urheber und</w:t>
      </w:r>
    </w:p>
    <w:p>
      <w:pPr>
        <w:ind w:left="420"/>
      </w:pPr>
      <w:r>
        <w:t xml:space="preserve">3. die Inhaberin oder der Inhaber der Nutzungsrechte.</w:t>
      </w:r>
    </w:p>
    <w:p>
      <w:r>
        <w:t xml:space="preserve">Bei digitalen Diensten sind zusätzlich die Anbieterin oder der Anbieter Beteiligte im Sinne des Satz 1.</w:t>
      </w:r>
    </w:p>
    <w:p>
      <w:r>
        <w:t xml:space="preserve">(2) Anregende im Sinne dieser Verordnung sind die in § 21 Absatz 4 des Jugendschutzgesetzes genannten zur Verfahrensanregung berechtigten Stellen und die zu deren Vertretung berechtigten Personen.</w:t>
      </w:r>
    </w:p>
    <w:p>
      <w:r>
        <w:rPr>
          <w:color w:val="555555"/>
          <w:sz w:val="17"/>
        </w:rPr>
        <w:t xml:space="preserve">Zitiervorschlag: § 4 JuSchGDV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https://recht.nulegal.eu/gesetze/JuSchGDV/4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