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JuSchGDV — Beginn des Verfahrens</w:t>
      </w:r>
    </w:p>
    <w:p>
      <w:r>
        <w:rPr>
          <w:color w:val="555555"/>
          <w:sz w:val="18"/>
        </w:rPr>
        <w:t xml:space="preserve">Verordnung zur Durchführung des Jugendschutzgesetzes</w:t>
      </w:r>
    </w:p>
    <w:p>
      <w:r>
        <w:rPr>
          <w:color w:val="555555"/>
          <w:sz w:val="18"/>
        </w:rPr>
        <w:t xml:space="preserve">Stand: 15.05.2024 (konsolidierte Textfassung, kein amtliches Inkrafttretensdatum)</w:t>
      </w:r>
    </w:p>
    <w:p>
      <w:r>
        <w:t xml:space="preserve">(1) Der Antrag auf Aufnahme eines Mediums in die Liste jugendgefährdender Medien (Liste) muss schriftlich oder elektronisch gestellt und begründet werden. Dem Antrag sollen bei Trägermedien mindestens ein Exemplar und bei digitalen Diensten mindestens die technischen Zugangsdaten zu den Angeboten der digitalen Dienste beigefügt werden. Wird der Antrag durch Telefax oder elektronisch übermittelt, so können die erforderlichen Anlagen nachgereicht werden.</w:t>
      </w:r>
    </w:p>
    <w:p>
      <w:r>
        <w:t xml:space="preserve">(2) Die Anregung auf Aufnahme eines Mediums in die Liste soll schriftlich begründet werden. Absatz 1 Satz 2 und 3 gilt entsprechend. Erfolgt die Anregung durch einen anerkannten Träger der freien Jugendhilfe, soll dieser seine Anerkennung nach § 75 des Achten Buches Sozialgesetzbuch nachweisen. Die Begründung sowie der Nachweis der Anerkennung können auch durch Telefax oder elektronisch übermittelt werden.</w:t>
      </w:r>
    </w:p>
    <w:p>
      <w:r>
        <w:rPr>
          <w:color w:val="555555"/>
          <w:sz w:val="17"/>
        </w:rPr>
        <w:t xml:space="preserve">Zitiervorschlag: § 2 JuSchGDV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https://recht.nulegal.eu/gesetze/JuSchGDV/2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