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JuSchGDV — Mitteilungspflichten</w:t>
      </w:r>
    </w:p>
    <w:p>
      <w:r>
        <w:rPr>
          <w:color w:val="555555"/>
          <w:sz w:val="18"/>
        </w:rPr>
        <w:t xml:space="preserve">Verordnung zur Durchführung des Jugendschutzgesetzes</w:t>
      </w:r>
    </w:p>
    <w:p>
      <w:r>
        <w:rPr>
          <w:color w:val="555555"/>
          <w:sz w:val="18"/>
        </w:rPr>
        <w:t xml:space="preserve">Stand: 15.05.2024 (konsolidierte Textfassung, kein amtliches Inkrafttretensdatum)</w:t>
      </w:r>
    </w:p>
    <w:p>
      <w:r>
        <w:t xml:space="preserve">(1) Wird ein Trägermedium in die Liste jugendgefährdender Medien aufgenommen, die Aufnahme in die Liste jedoch nach § 24 Absatz 2a Satz 2 des Jugendschutzgesetzes nicht bekannt gemacht, so teilt die Bundeszentrale für Kinder- und Jugendmedienschutz den obersten Landesjugendbehörden den Zeitpunkt der Zustellung der Entscheidung mit.</w:t>
      </w:r>
    </w:p>
    <w:p>
      <w:r>
        <w:t xml:space="preserve">(2) Wird ein digitaler Dienst in die Liste aufgenommen oder aus dieser gestrichen, so teilt die Bundeszentrale für Kinder- und Jugendmedienschutz der Kommission für Jugendmedienschutz den Zeitpunkt der Entscheidung mit.</w:t>
      </w:r>
    </w:p>
    <w:p>
      <w:r>
        <w:t xml:space="preserve">(3) Bei erfolgloser Zustellung soll die Bundeszentrale für Kinder- und Jugendmedienschutz die Entscheidungen den im Bereich der digitalen Dienste anerkannten Einrichtungen der Selbstkontrolle mitteilen.</w:t>
      </w:r>
    </w:p>
    <w:p>
      <w:r>
        <w:rPr>
          <w:color w:val="555555"/>
          <w:sz w:val="17"/>
        </w:rPr>
        <w:t xml:space="preserve">Zitiervorschlag: § 15 JuSchGDV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https://recht.nulegal.eu/gesetze/JuSchGDV/15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