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JuSchGDV — Führung und Veröffentlichung der Liste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29.11.2022 (konsolidierte Textfassung, kein amtliches Inkrafttretensdatum)</w:t>
      </w:r>
    </w:p>
    <w:p>
      <w:r>
        <w:t xml:space="preserve">Die Bundeszentrale für Kinder- und Jugendmedienschutz hat den als öffentlich geführten Teil der Liste in geeigneter Weise in einer übersichtlichen Zusammenstellung zu veröffentlichen. Dies gilt auch für die Teile A und B der bis zum 30. April 2021 bei der Bundesprüfstelle für jugendgefährdende Medien geführten Liste.</w:t>
      </w:r>
    </w:p>
    <w:p>
      <w:r>
        <w:rPr>
          <w:color w:val="555555"/>
          <w:sz w:val="17"/>
        </w:rPr>
        <w:t xml:space="preserve">Zitiervorschlag: § 13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