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JuSchGDV — Belehrungspflichten</w:t>
      </w:r>
    </w:p>
    <w:p>
      <w:r>
        <w:rPr>
          <w:color w:val="555555"/>
          <w:sz w:val="18"/>
        </w:rPr>
        <w:t xml:space="preserve">Verordnung zur Durchführung des Jugendschutzgesetzes</w:t>
      </w:r>
    </w:p>
    <w:p>
      <w:r>
        <w:rPr>
          <w:color w:val="555555"/>
          <w:sz w:val="18"/>
        </w:rPr>
        <w:t xml:space="preserve">Stand: 29.11.2022 (konsolidierte Textfassung, kein amtliches Inkrafttretensdatum)</w:t>
      </w:r>
    </w:p>
    <w:p>
      <w:r>
        <w:t xml:space="preserve">Die oder der Vorsitzende der Prüfstelle für jugendgefährdende Medien hat die Beisitzerinnen und Beisitzer sowie Personen, denen sie oder er nach § 9 Absatz 1 Satz 1 die Anwesenheit gestattet hat, zu Beginn der ersten Sitzung, an der sie teilnehmen, über das Beratungs- und Abstimmungsgeheimnis, die Beisitzerinnen und Beisitzer außerdem über ihre Weisungsfreiheit bei ihren Entscheidungen zu belehren. Ferner sind die Gruppenbeisitzerinnen und -beisitzer von der oder dem Vorsitzenden auf die gewissenhafte und unparteiische Ausübung ihres Amtes zu verpflichten. Die Verpflichtung ist in die Niederschrift nach § 8 Absatz 4 aufzunehmen.</w:t>
      </w:r>
    </w:p>
    <w:p>
      <w:r>
        <w:rPr>
          <w:color w:val="555555"/>
          <w:sz w:val="17"/>
        </w:rPr>
        <w:t xml:space="preserve">Zitiervorschlag: § 11 JuSchGDV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https://recht.nulegal.eu/gesetze/JuSchGDV/11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