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JuSchGDV — Sitz der Prüfstelle für jugendgefährdende Medien</w:t>
      </w:r>
    </w:p>
    <w:p>
      <w:r>
        <w:rPr>
          <w:color w:val="555555"/>
          <w:sz w:val="18"/>
        </w:rPr>
        <w:t xml:space="preserve">Verordnung zur Durchführung des Jugendschutzgesetzes</w:t>
      </w:r>
    </w:p>
    <w:p>
      <w:r>
        <w:rPr>
          <w:color w:val="555555"/>
          <w:sz w:val="18"/>
        </w:rPr>
        <w:t xml:space="preserve">Stand: 29.11.2022 (konsolidierte Textfassung, kein amtliches Inkrafttretensdatum)</w:t>
      </w:r>
    </w:p>
    <w:p>
      <w:r>
        <w:t xml:space="preserve">Sitz der Prüfstelle für jugendgefährdende Medien ist Bonn.</w:t>
      </w:r>
    </w:p>
    <w:p>
      <w:r>
        <w:rPr>
          <w:color w:val="555555"/>
          <w:sz w:val="17"/>
        </w:rPr>
        <w:t xml:space="preserve">Zitiervorschlag: § 1 JuSchGDV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https://recht.nulegal.eu/gesetze/JuSchGDV/1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