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JuSchG — Bekanntmachung der Vorschriften</w:t>
      </w:r>
    </w:p>
    <w:p>
      <w:r>
        <w:rPr>
          <w:color w:val="555555"/>
          <w:sz w:val="18"/>
        </w:rPr>
        <w:t xml:space="preserve">Jugendschutzgesetz</w:t>
      </w:r>
    </w:p>
    <w:p>
      <w:r>
        <w:rPr>
          <w:color w:val="555555"/>
          <w:sz w:val="18"/>
        </w:rPr>
        <w:t xml:space="preserve">Stand: 01.05.2021 (konsolidierte Textfassung, kein amtliches Inkrafttretensdatum)</w:t>
      </w:r>
    </w:p>
    <w:p>
      <w:r>
        <w:t xml:space="preserve">(1) Veranstalter und Gewerbetreibende haben die nach den §§ 4 bis 13 für ihre Betriebseinrichtungen und Veranstaltungen geltenden Vorschriften sowie bei öffentlichen Filmveranstaltungen die Alterseinstufung von Filmen oder die Anbieterkennzeichnung nach § 14 Abs. 7 durch deutlich sichtbaren und gut lesbaren Aushang bekannt zu machen.</w:t>
      </w:r>
    </w:p>
    <w:p>
      <w:r>
        <w:t xml:space="preserve">(2) Zur Bekanntmachung der Alterseinstufung von Filmen und von Spielprogrammen dürfen Veranstalter und Gewerbetreibende nur die in § 14 Abs. 2 genannten Kennzeichnungen verwenden. Wer einen Film für öffentliche Filmveranstaltungen weitergibt, ist verpflichtet, den Veranstalter bei der Weitergabe auf die Alterseinstufung oder die Anbieterkennzeichnung nach § 14 Abs. 7 hinzuweisen. Für Filme und Spielprogramme, die nach § 14 Abs. 2 von der obersten Landesbehörde oder einer Organisation der freiwilligen Selbstkontrolle im Rahmen des Verfahrens nach § 14 Abs. 6 gekennzeichnet sind, darf bei der Ankündigung oder Werbung weder auf jugendbeeinträchtigende Inhalte hingewiesen werden noch darf die Ankündigung oder Werbung in jugendbeeinträchtigender Weise erfolgen.</w:t>
      </w:r>
    </w:p>
    <w:p>
      <w:r>
        <w:rPr>
          <w:color w:val="555555"/>
          <w:sz w:val="17"/>
        </w:rPr>
        <w:t xml:space="preserve">Zitiervorschlag: § 3 JuSchG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