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JuSchG — Strafvorschriften</w:t>
      </w:r>
    </w:p>
    <w:p>
      <w:r>
        <w:rPr>
          <w:color w:val="555555"/>
          <w:sz w:val="18"/>
        </w:rPr>
        <w:t xml:space="preserve">Jugendschutzgesetz</w:t>
      </w:r>
    </w:p>
    <w:p>
      <w:r>
        <w:rPr>
          <w:color w:val="555555"/>
          <w:sz w:val="18"/>
        </w:rPr>
        <w:t xml:space="preserve">Stand: 01.05.2021 (konsolidierte Textfassung, kein amtliches Inkrafttretensdatum)</w:t>
      </w:r>
    </w:p>
    <w:p>
      <w:r>
        <w:t xml:space="preserve">(1) Mit Freiheitsstrafe bis zu einem Jahr oder mit Geldstrafe wird bestraft, wer</w:t>
      </w:r>
    </w:p>
    <w:p>
      <w:pPr>
        <w:ind w:left="420"/>
      </w:pPr>
      <w:r>
        <w:t xml:space="preserve">1. entgegen § 15 Abs. 1 Nr. 1 bis 5 oder 6, jeweils auch in Verbindung mit Abs. 2, oder entgegen § 15 Absatz 1a ein dort genanntes Medium anbietet, überlässt, zugänglich macht, ausstellt, anschlägt, vorführt, einführt, ankündigt oder anpreist,</w:t>
      </w:r>
    </w:p>
    <w:p>
      <w:pPr>
        <w:ind w:left="420"/>
      </w:pPr>
      <w:r>
        <w:t xml:space="preserve">2. entgegen § 15 Abs. 1 Nr. 7, auch in Verbindung mit Abs. 2, ein Trägermedium herstellt, bezieht, liefert, vorrätig hält oder einführt,</w:t>
      </w:r>
    </w:p>
    <w:p>
      <w:pPr>
        <w:ind w:left="420"/>
      </w:pPr>
      <w:r>
        <w:t xml:space="preserve">3. entgegen § 15 Abs. 4 die Liste der jugendgefährdenden Medien abdruckt oder veröffentlicht,</w:t>
      </w:r>
    </w:p>
    <w:p>
      <w:pPr>
        <w:ind w:left="420"/>
      </w:pPr>
      <w:r>
        <w:t xml:space="preserve">4. entgegen § 15 Abs. 5 bei geschäftlicher Werbung einen dort genannten Hinweis gibt oder</w:t>
      </w:r>
    </w:p>
    <w:p>
      <w:pPr>
        <w:ind w:left="420"/>
      </w:pPr>
      <w:r>
        <w:t xml:space="preserve">5. einer vollziehbaren Entscheidung nach § 21 Abs. 8 Satz 1 Nr. 1 zuwiderhandelt.</w:t>
      </w:r>
    </w:p>
    <w:p>
      <w:r>
        <w:t xml:space="preserve">(2) Ebenso wird bestraft, wer als Veranstalter oder Gewerbetreibender</w:t>
      </w:r>
    </w:p>
    <w:p>
      <w:pPr>
        <w:ind w:left="420"/>
      </w:pPr>
      <w:r>
        <w:t xml:space="preserve">1. eine in § 28 Abs. 1 Nr. 4 bis 18 oder 19 bezeichnete vorsätzliche Handlung begeht und dadurch wenigstens leichtfertig ein Kind oder eine jugendliche Person in der körperlichen, geistigen oder sittlichen Entwicklung schwer gefährdet oder</w:t>
      </w:r>
    </w:p>
    <w:p>
      <w:pPr>
        <w:ind w:left="420"/>
      </w:pPr>
      <w:r>
        <w:t xml:space="preserve">2. eine in § 28 Abs. 1 Nr. 4 bis 18 oder 19 bezeichnete vorsätzliche Handlung aus Gewinnsucht begeht oder beharrlich wiederholt.</w:t>
      </w:r>
    </w:p>
    <w:p>
      <w:r>
        <w:t xml:space="preserve">(3) Wird die Tat in den Fällen</w:t>
      </w:r>
    </w:p>
    <w:p>
      <w:pPr>
        <w:ind w:left="420"/>
      </w:pPr>
      <w:r>
        <w:t xml:space="preserve">1. des Absatzes 1 Nr. 1 oder</w:t>
      </w:r>
    </w:p>
    <w:p>
      <w:pPr>
        <w:ind w:left="420"/>
      </w:pPr>
      <w:r>
        <w:t xml:space="preserve">2. des Absatzes 1 Nr. 3, 4 oder 5</w:t>
      </w:r>
    </w:p>
    <w:p>
      <w:r>
        <w:t xml:space="preserve">fahrlässig begangen, so ist die Strafe Freiheitsstrafe bis zu sechs Monaten oder Geldstrafe bis zu hundertachtzig Tagessätzen.</w:t>
      </w:r>
    </w:p>
    <w:p>
      <w:r>
        <w:t xml:space="preserve">(4) Absatz 1 Nummer 1 und 2 und Absatz 3 Nummer 1 sind nicht anzuwenden, wenn eine personensorgeberechtigte Person oder eine Person, die im Einverständnis mit einer personensorgeberechtigten Person handelt, das Medium einem Kind oder einer jugendlichen Person anbietet, überlässt, zugänglich macht oder vorführt. Dies gilt nicht, wenn die personensorgeberechtigte Person durch das Erteilen des Einverständnisses, das Anbieten, Überlassen, Zugänglichmachen oder Vorführen ihre Erziehungspflicht gröblich verletzt.</w:t>
      </w:r>
    </w:p>
    <w:p>
      <w:r>
        <w:rPr>
          <w:color w:val="555555"/>
          <w:sz w:val="17"/>
        </w:rPr>
        <w:t xml:space="preserve">Zitiervorschlag: § 27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