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JuSchG — Prüfungs- und Nachweispflicht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nach diesem Gesetz auf die Begleitung durch eine erziehungsbeauftragte Person ankommt, haben die in § 1 Abs. 1 Nr. 4 genannten Personen ihre Berechtigung auf Verlangen darzulegen. Veranstalter und Gewerbetreibende haben in Zweifelsfällen die Berechtigung zu überprüfen.</w:t>
      </w:r>
    </w:p>
    <w:p>
      <w:r>
        <w:t xml:space="preserve">(2) Personen, bei denen nach diesem Gesetz Altersgrenzen zu beachten sind, haben ihr Lebensalter auf Verlangen in geeigneter Weise nachzuweisen. Veranstalter und Gewerbetreibende haben in Zweifelsfällen das Lebensalter zu überprüfen.</w:t>
      </w:r>
    </w:p>
    <w:p>
      <w:r>
        <w:rPr>
          <w:color w:val="555555"/>
          <w:sz w:val="17"/>
        </w:rPr>
        <w:t xml:space="preserve">Zitiervorschlag: § 2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