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JuSchG — Entwicklungsbeeinträchtigende Medien</w:t>
      </w:r>
    </w:p>
    <w:p>
      <w:r>
        <w:rPr>
          <w:color w:val="555555"/>
          <w:sz w:val="18"/>
        </w:rPr>
        <w:t xml:space="preserve">Jugendschutzgesetz</w:t>
      </w:r>
    </w:p>
    <w:p>
      <w:r>
        <w:rPr>
          <w:color w:val="555555"/>
          <w:sz w:val="18"/>
        </w:rPr>
        <w:t xml:space="preserve">Stand: 01.05.2021 (konsolidierte Textfassung, kein amtliches Inkrafttretensdatum)</w:t>
      </w:r>
    </w:p>
    <w:p>
      <w:r>
        <w:t xml:space="preserve">(1) Zu den entwicklungsbeeinträchtigenden Medien nach § 10a Nummer 1 zählen insbesondere übermäßig ängstigende, Gewalt befürwortende oder das sozialethische Wertebild beeinträchtigende Medien.</w:t>
      </w:r>
    </w:p>
    <w:p>
      <w:r>
        <w:t xml:space="preserve">(2) Bei der Beurteilung der Entwicklungsbeeinträchtigung können auch außerhalb der medieninhaltlichen Wirkung liegende Umstände der jeweiligen Nutzung des Mediums berücksichtigt werden, wenn diese auf Dauer angelegter Bestandteil des Mediums sind und eine abweichende Gesamtbeurteilung über eine Kennzeichnung nach § 14 Absatz 2a hinaus rechtfertigen.</w:t>
      </w:r>
    </w:p>
    <w:p>
      <w:r>
        <w:t xml:space="preserve">(3) Insbesondere sind nach konkreter Gefahrenprognose als erheblich einzustufende Risiken für die persönliche Integrität von Kindern und Jugendlichen, die im Rahmen der Nutzung des Mediums auftreten können, unter Einbeziehung etwaiger Vorsorgemaßnahmen im Sinne des § 24a Absatz 1 und 2 angemessen zu berücksichtigen. Hierzu zählen insbesondere Risiken durch Kommunikations- und Kontaktfunktionen, durch Kauffunktionen, durch glücksspielähnliche Mechanismen, durch Mechanismen zur Förderung eines exzessiven Mediennutzungsverhaltens, durch die Weitergabe von Bestands- und Nutzungsdaten ohne Einwilligung an Dritte sowie durch nicht altersgerechte Kaufappelle insbesondere durch werbende Verweise auf andere Medien.</w:t>
      </w:r>
    </w:p>
    <w:p>
      <w:r>
        <w:rPr>
          <w:color w:val="555555"/>
          <w:sz w:val="17"/>
        </w:rPr>
        <w:t xml:space="preserve">Zitiervorschlag: § 10b JuSchG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https://recht.nulegal.eu/gesetze/JuSchG/10b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