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JuSchG — Begriffsbestimmungen</w:t>
      </w:r>
    </w:p>
    <w:p>
      <w:r>
        <w:rPr>
          <w:color w:val="555555"/>
          <w:sz w:val="18"/>
        </w:rPr>
        <w:t xml:space="preserve">Jugendschutzgesetz</w:t>
      </w:r>
    </w:p>
    <w:p>
      <w:r>
        <w:rPr>
          <w:color w:val="555555"/>
          <w:sz w:val="18"/>
        </w:rPr>
        <w:t xml:space="preserve">Stand: 15.05.2024 (konsolidierte Textfassung, kein amtliches Inkrafttretensdatum)</w:t>
      </w:r>
    </w:p>
    <w:p>
      <w:r>
        <w:t xml:space="preserve">(1) Im Sinne dieses Gesetzes</w:t>
      </w:r>
    </w:p>
    <w:p>
      <w:pPr>
        <w:ind w:left="420"/>
      </w:pPr>
      <w:r>
        <w:t xml:space="preserve">1. sind Kinder Personen, die noch nicht 14 Jahre alt sind,</w:t>
      </w:r>
    </w:p>
    <w:p>
      <w:pPr>
        <w:ind w:left="420"/>
      </w:pPr>
      <w:r>
        <w:t xml:space="preserve">2. sind Jugendliche Personen, die 14, aber noch nicht 18 Jahre alt sind,</w:t>
      </w:r>
    </w:p>
    <w:p>
      <w:pPr>
        <w:ind w:left="420"/>
      </w:pPr>
      <w:r>
        <w:t xml:space="preserve">3. ist personensorgeberechtigte Person, wem allein oder gemeinsam mit einer anderen Person nach den Vorschriften des Bürgerlichen Gesetzbuchs die Personensorge zusteht,</w:t>
      </w:r>
    </w:p>
    <w:p>
      <w:pPr>
        <w:ind w:left="420"/>
      </w:pPr>
      <w:r>
        <w:t xml:space="preserve">4. ist erziehungsbeauftragte Person, jede Person über 18 Jahren, soweit sie auf Dauer oder zeitweise aufgrund einer Vereinbarung mit der personensorgeberechtigten Person Erziehungsaufgaben wahrnimmt oder soweit sie ein Kind oder eine jugendliche Person im Rahmen der Ausbildung oder der Jugendhilfe betreut.</w:t>
      </w:r>
    </w:p>
    <w:p>
      <w:r>
        <w:t xml:space="preserve">(1a) Medien im Sinne dieses Gesetzes sind Trägermedien und digitale Dienste sowie abgrenzbare Inhalte innerhalb eines digitalen Dienstes im Sinne einer Bewertungseinheit.</w:t>
      </w:r>
    </w:p>
    <w:p>
      <w:r>
        <w:t xml:space="preserve">(2) Trägermedien im Sinne dieses Gesetzes sind Medien mit Texten, Bildern oder Tönen auf gegenständlichen Trägern, die zur Weitergabe geeignet, zur unmittelbaren Wahrnehmung bestimmt oder in einem Vorführ- oder Spielgerät eingebaut sind. Dem gegenständlichen Verbreiten, Überlassen, Anbieten oder Zugänglichmachen von Trägermedien steht das elektronische Verbreiten, Überlassen, Anbieten oder Zugänglichmachen gleich, soweit es sich nicht um Rundfunk im Sinne des § 2 des Rundfunkstaatsvertrages handelt.</w:t>
      </w:r>
    </w:p>
    <w:p>
      <w:r>
        <w:t xml:space="preserve">(3) Digitale Dienste im Sinne dieses Gesetzes sind digitale Dienste nach § 1 Absatz 4 Nummer 1 des Digitale-Dienste-Gesetzes.</w:t>
      </w:r>
    </w:p>
    <w:p>
      <w:r>
        <w:t xml:space="preserve">(4) Versandhandel im Sinne dieses Gesetzes ist jedes entgeltliche Geschäft, das im Wege der Bestellung und Übersendung einer Ware durch Postversand oder elektronischen Versand ohne persönlichen Kontakt zwischen Lieferant und Besteller oder ohne dass durch technische oder sonstige Vorkehrungen sichergestellt ist, dass kein Versand an Kinder und Jugendliche erfolgt, vollzogen wird.</w:t>
      </w:r>
    </w:p>
    <w:p>
      <w:r>
        <w:t xml:space="preserve">(5) Die Vorschriften der §§ 2 bis 14 dieses Gesetzes gelten nicht für verheiratete Jugendliche.</w:t>
      </w:r>
    </w:p>
    <w:p>
      <w:r>
        <w:t xml:space="preserve">(6) Diensteanbieter im Sinne dieses Gesetzes sind Diensteanbieter nach dem Digitale-Dienste-Gesetz in der jeweils geltenden Fassung.</w:t>
      </w:r>
    </w:p>
    <w:p>
      <w:r>
        <w:rPr>
          <w:color w:val="555555"/>
          <w:sz w:val="17"/>
        </w:rPr>
        <w:t xml:space="preserve">Zitiervorschlag: § 1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