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JagdHBV (Brandenburg) — In-Kraft-Treten, Außer-Kraft-Treten</w:t>
      </w:r>
    </w:p>
    <w:p>
      <w:r>
        <w:rPr>
          <w:color w:val="555555"/>
          <w:sz w:val="18"/>
        </w:rPr>
        <w:t xml:space="preserve">Jagdhundebrauchbarkeitsverordnung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Verordnung zur Durchführung von Brauchbarkeitsprüfungen für Jagdhunde vom 27. März 1992 (GVBl. II S. 792) außer Kraft.</w:t>
      </w:r>
    </w:p>
    <w:p>
      <w:r>
        <w:t xml:space="preserve">Potsdam, den 14. September 2005</w:t>
      </w:r>
    </w:p>
    <w:p>
      <w:r>
        <w:t xml:space="preserve">Der Minister für Ländliche Entwicklung, 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15 JagdHBV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https://recht.nulegal.eu/gesetze/JagdHBV/15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