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JagdHBV (Brandenburg) — Übergangsregelung</w:t>
      </w:r>
    </w:p>
    <w:p>
      <w:r>
        <w:rPr>
          <w:color w:val="555555"/>
          <w:sz w:val="18"/>
        </w:rPr>
        <w:t xml:space="preserve">Jagdhundebrauchbarkeitsverordnung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Brauchbarkeitsprüfungen im Jahr 2005 können auch die bisherigen Bestimmungen angewendet werden.</w:t>
      </w:r>
    </w:p>
    <w:p>
      <w:r>
        <w:rPr>
          <w:color w:val="555555"/>
          <w:sz w:val="17"/>
        </w:rPr>
        <w:t xml:space="preserve">Zitiervorschlag: § 14 JagdHBV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https://recht.nulegal.eu/gesetze/JagdHBV/14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