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JagdHBV (Brandenburg) — Jagdliche Brauchbarkeit</w:t>
      </w:r>
    </w:p>
    <w:p>
      <w:r>
        <w:rPr>
          <w:color w:val="555555"/>
          <w:sz w:val="18"/>
        </w:rPr>
        <w:t xml:space="preserve">Jagdhundebrauchbarkeitsverordnung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Brauchbarkeit von Jagdgebrauchshunden ist gegeben, wenn sie eine Prüfung bestanden haben, welche die in dieser Verordnung festgelegten jeweiligen Mindestanforderungen erfüllt.</w:t>
      </w:r>
    </w:p>
    <w:p>
      <w:r>
        <w:t xml:space="preserve">(2) Ein Jagdgebrauchshund gilt als brauchbar für die</w:t>
      </w:r>
    </w:p>
    <w:p>
      <w:r>
        <w:t xml:space="preserve">Such-, Drück- und Treibjagd auf Niederwild (ohne Rehwild) und Raubwild, wenn er in den Fachgruppen Gehorsam, Bringen und Wasserarbeit (A, B und C),</w:t>
      </w:r>
    </w:p>
    <w:p>
      <w:r>
        <w:t xml:space="preserve">Nachsuche auf Schalenwild, wenn er in den Fachgruppen Gehorsam und Schweiß (A und D),</w:t>
      </w:r>
    </w:p>
    <w:p>
      <w:r>
        <w:t xml:space="preserve">Drück- und Treibjagd auf Schalenwild und Raubwild, wenn er in den Fachgruppen Gehorsam und Stöbern oder Gehorsam und Verhalten am Schwarzwild (A und E) und</w:t>
      </w:r>
    </w:p>
    <w:p>
      <w:r>
        <w:t xml:space="preserve">Baujagd, wenn er in den Fachgruppen Gehorsam und Bauarbeit (A und F) ausreichende Leistungen erbracht hat.</w:t>
      </w:r>
    </w:p>
    <w:p>
      <w:r>
        <w:t xml:space="preserve">(3) Wurde von einem Jagdgebrauchshund bereits eine Brauchbarkeitsprüfung bestanden, ist bei einer weiteren Brauchbarkeitsprüfung die Fachgruppe Gehorsam nicht mehr zu prüfen.</w:t>
      </w:r>
    </w:p>
    <w:p>
      <w:r>
        <w:rPr>
          <w:color w:val="555555"/>
          <w:sz w:val="17"/>
        </w:rPr>
        <w:t xml:space="preserve">Zitiervorschlag: § 1 JagdHBV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https://recht.nulegal.eu/gesetze/JagdHBV/1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