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JWMBG (Brandenburg) — Gewahrsam</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Justizwachtmeisterdienst kann eine Person in Gewahrsam nehmen, wenn</w:t>
      </w:r>
    </w:p>
    <w:p>
      <w:r>
        <w:t xml:space="preserve">das zum Schutz der Person gegen eine Gefahr für Leib oder Leben erforderlich ist, insbesondere weil die Person sich erkennbar in einem die freie Willensbestimmung ausschließenden Zustand oder sonst in hilfloser Lage befindet, oder</w:t>
      </w:r>
    </w:p>
    <w:p>
      <w:r>
        <w:t xml:space="preserve">das unerlässlich ist, um die unmittelbar bevorstehende Begehung oder Fortsetzung einer Straftat oder einer Ordnungswidrigkeit, die hinsichtlich ihrer Art und Dauer geeignet ist, den Rechtsfrieden nachhaltig zu beeinträchtigen, zu verhindern; die Annahme, dass eine Person eine solche Tat begehen oder zu ihrer Begehung beitragen wird, kann sich insbesondere darauf stützen, dass</w:t>
      </w:r>
    </w:p>
    <w:p>
      <w:r>
        <w:t xml:space="preserve">sie die Begehung der Tat angekündigt oder dazu aufgefordert hat oder entsprechende Transparente oder sonstige Gegenstände mit sich führt; dies gilt auch für Flugblätter solchen Inhalts, soweit sie in einer Menge mitgeführt werden, die zur Verteilung geeignet ist,</w:t>
      </w:r>
    </w:p>
    <w:p>
      <w:r>
        <w:t xml:space="preserve">bei ihr Waffen, Werkzeuge oder sonstige Gegenstände aufgefunden werden, die ersichtlich zur Tatbegehung bestimmt sind oder erfahrungsgemäß bei derartigen Taten verwendet werden, oder ihre Begleitperson solche Gegenstände mit sich führt und sie den Umständen nach hiervon Kenntnis haben musste oder</w:t>
      </w:r>
    </w:p>
    <w:p>
      <w:r>
        <w:t xml:space="preserve">sie bereits in der Vergangenheit aus vergleichbarem Anlass bei der Begehung von Straftaten oder Ordnungswidrigkeiten, die hinsichtlich ihrer Art und Dauer geeignet sind, den Rechtsfrieden nachhaltig zu beeinträchtigen, als Störer betroffen worden ist und nach den Umständen eine Wiederholung dieser Verhaltensweise zu erwarten ist, oder</w:t>
      </w:r>
    </w:p>
    <w:p>
      <w:r>
        <w:t xml:space="preserve">das unerlässlich ist, um eine Platzverweisung nach § 4 durchzusetzen.</w:t>
      </w:r>
    </w:p>
    <w:p>
      <w:r>
        <w:t xml:space="preserve">(2) Der Justizwachtmeisterdienst kann eine Person, die aus dem Vollzug von Untersuchungshaft, Freiheitsstrafen oder freiheitsentziehenden Maßregeln der Besserung und Sicherung oder aus der Abschiebungshaft, dem Ausreisegewahrsam oder dem Gewahrsam nach Absatz 1 entwichen ist oder sich sonst ohne Erlaubnis außerhalb der Justizvollzugsanstalt aufhält, in Gewahrsam nehmen.</w:t>
      </w:r>
    </w:p>
    <w:p>
      <w:r>
        <w:t xml:space="preserve">Einzelnorm</w:t>
      </w:r>
    </w:p>
    <w:p>
      <w:r>
        <w:rPr>
          <w:color w:val="555555"/>
          <w:sz w:val="17"/>
        </w:rPr>
        <w:t xml:space="preserve">Zitiervorschlag: § 9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