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JWMBG (Brandenburg) — Inkrafttreten</w:t>
      </w:r>
    </w:p>
    <w:p>
      <w:r>
        <w:rPr>
          <w:color w:val="555555"/>
          <w:sz w:val="18"/>
        </w:rPr>
        <w:t xml:space="preserve">Justizwachtmeisterbefugnissegesetz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t xml:space="preserve">Einzelnorm</w:t>
      </w:r>
    </w:p>
    <w:p>
      <w:r>
        <w:t xml:space="preserve">Potsdam, den 5. Juni 2019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rPr>
          <w:color w:val="555555"/>
          <w:sz w:val="17"/>
        </w:rPr>
        <w:t xml:space="preserve">Zitiervorschlag: § 25 JWMBG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https://recht.nulegal.eu/gesetze/JWMBG/25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