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JWMBG (Brandenburg) — Zulässigkeit des Verwaltungszwangs</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Verwaltungsakt, der auf die Vornahme einer Handlung oder auf Duldung oder Unterlassung gerichtet ist, kann mit Zwangsmitteln durchgesetzt werden, wenn er unanfechtbar ist oder wenn ein Rechtsmittel keine aufschiebende Wirkung hat.</w:t>
      </w:r>
    </w:p>
    <w:p>
      <w:r>
        <w:t xml:space="preserve">(2) Der Verwaltungszwang kann ohne vorausgehenden Verwaltungsakt angewendet werden, wenn das zur Abwehr einer gegenwärtigen Gefahr notwendig ist und der Justizwachtmeisterdienst innerhalb seiner Befugnisse handelt.</w:t>
      </w:r>
    </w:p>
    <w:p>
      <w:r>
        <w:t xml:space="preserve">Einzelnorm</w:t>
      </w:r>
    </w:p>
    <w:p>
      <w:r>
        <w:rPr>
          <w:color w:val="555555"/>
          <w:sz w:val="17"/>
        </w:rPr>
        <w:t xml:space="preserve">Zitiervorschlag: § 17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