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JWMBG (Brandenburg) — Wegfall der aufschiebenden Wirkung von Widerspruch und Anfechtungsklage; Widerspruchsbescheid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Widerspruch und Anfechtungsklage gegen Anordnungen und Maßnahmen des Justizwachtmeisterdienstes haben keine aufschiebende Wirkung.</w:t>
      </w:r>
    </w:p>
    <w:p>
      <w:r>
        <w:t xml:space="preserve">(2) Über den Widerspruch gegen Verwaltungsakte des Justizwachtmeisterdienstes entscheidet die Behörde, deren Justizwachtmeisterdienst den Verwaltungsakt erlassen hat.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