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JWMBG (Brandenburg) — Entschädigungsansprüche</w:t>
      </w:r>
    </w:p>
    <w:p>
      <w:r>
        <w:rPr>
          <w:color w:val="555555"/>
          <w:sz w:val="18"/>
        </w:rPr>
        <w:t xml:space="preserve">Justizwachtmeisterbefugnissegesetz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38 bis 42 des Ordnungsbehördengesetzes finden entsprechende Anwendung.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 JWMBG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https://recht.nulegal.eu/gesetze/JWMBG/15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