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JWMBG (Brandenburg) — Inanspruchnahme von Notstandspflichtigen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Justizwachtmeisterdienst kann Maßnahmen gegen andere Personen als die nach § 12 oder § 13 Verantwortlichen richten, wenn</w:t>
      </w:r>
    </w:p>
    <w:p>
      <w:r>
        <w:t xml:space="preserve">eine gegenwärtige erhebliche Gefahr abzuwehren ist,</w:t>
      </w:r>
    </w:p>
    <w:p>
      <w:r>
        <w:t xml:space="preserve">Maßnahmen gegen die nach § 12 oder § 13 Verantwortlichen nicht oder nicht rechtzeitig möglich sind oder keinen Erfolg versprechen,</w:t>
      </w:r>
    </w:p>
    <w:p>
      <w:r>
        <w:t xml:space="preserve">der Justizwachtmeisterdienst die Gefahr nicht oder nicht rechtzeitig selbst oder durch Beauftragte abwehren kann und</w:t>
      </w:r>
    </w:p>
    <w:p>
      <w:r>
        <w:t xml:space="preserve">die Personen ohne erhebliche eigene Gefährdung und ohne Verletzung höherwertiger Pflichten in Anspruch genommen werden können.</w:t>
      </w:r>
    </w:p>
    <w:p>
      <w:r>
        <w:t xml:space="preserve">(2) Die Maßnahmen nach Absatz 1 dürfen nur aufrechterhalten werden, solange die Abwehr dieser Gefahr nicht auf andere Weise möglich ist.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