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JVKostG — Vorschuss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Justizbehörde kann die Zahlung eines Kostenvorschusses verlangen.</w:t>
      </w:r>
    </w:p>
    <w:p>
      <w:r>
        <w:t xml:space="preserve">(2) Sie kann die Vornahme der Amtshandlung von der Zahlung oder Sicherstellung des Vorschusses abhängig machen.</w:t>
      </w:r>
    </w:p>
    <w:p>
      <w:r>
        <w:rPr>
          <w:color w:val="555555"/>
          <w:sz w:val="17"/>
        </w:rPr>
        <w:t xml:space="preserve">Zitiervorschlag: § 8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