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JVKostG — Übermittlung gerichtlicher Entscheidungen</w:t>
      </w:r>
    </w:p>
    <w:p>
      <w:r>
        <w:rPr>
          <w:color w:val="555555"/>
          <w:sz w:val="18"/>
        </w:rPr>
        <w:t xml:space="preserve">Justizverwaltungskostengesetz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Übermittlung gerichtlicher Entscheidungen in Form elektronisch auf Datenträgern gespeicherter Daten kann durch öffentlich-rechtlichen Vertrag anstelle der zu erhebenden Auslagen eine andere Art der Gegenleistung vereinbart werden, deren Wert den ansonsten zu erhebenden Auslagen entspricht.</w:t>
      </w:r>
    </w:p>
    <w:p>
      <w:r>
        <w:t xml:space="preserve">(2) Werden neben der Übermittlung gerichtlicher Entscheidungen zusätzliche Leistungen beantragt, insbesondere eine Auswahl der Entscheidungen nach besonderen Kriterien, und entsteht hierdurch ein nicht unerheblicher Aufwand, so ist durch öffentlich-rechtlichen Vertrag eine Gegenleistung zu vereinbaren, die zur Deckung der anfallenden Aufwendungen ausreicht.</w:t>
      </w:r>
    </w:p>
    <w:p>
      <w:r>
        <w:t xml:space="preserve">(3) Werden Entscheidungen für Zwecke verlangt, deren Verfolgung überwiegend im öffentlichen Interesse liegt, so kann auch eine niedrigere Gegenleistung vereinbart oder auf eine Gegenleistung verzichtet werden.</w:t>
      </w:r>
    </w:p>
    <w:p>
      <w:r>
        <w:rPr>
          <w:color w:val="555555"/>
          <w:sz w:val="17"/>
        </w:rPr>
        <w:t xml:space="preserve">Zitiervorschlag: § 20 JVKostG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https://recht.nulegal.eu/gesetze/JVKostG/20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