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JVKostG — Weitere Fälle der Kostenhaftung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schuldet ferner derjenige,</w:t>
      </w:r>
    </w:p>
    <w:p>
      <w:pPr>
        <w:ind w:left="420"/>
      </w:pPr>
      <w:r>
        <w:t xml:space="preserve">1. dem durch eine Entscheidung der Justizbehörde oder des Gerichts die Kosten auferlegt sind,</w:t>
      </w:r>
    </w:p>
    <w:p>
      <w:pPr>
        <w:ind w:left="420"/>
      </w:pPr>
      <w:r>
        <w:t xml:space="preserve">2. der sie durch eine vor der Justizbehörde abgegebene oder ihr mitgeteilte Erklärung übernommen hat und</w:t>
      </w:r>
    </w:p>
    <w:p>
      <w:pPr>
        <w:ind w:left="420"/>
      </w:pPr>
      <w:r>
        <w:t xml:space="preserve">3. der nach den Vorschriften des bürgerlichen Rechts für die Kostenschuld eines anderen kraft Gesetzes haftet.</w:t>
      </w:r>
    </w:p>
    <w:p>
      <w:r>
        <w:rPr>
          <w:color w:val="555555"/>
          <w:sz w:val="17"/>
        </w:rPr>
        <w:t xml:space="preserve">Zitiervorschlag: § 18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