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JVKostG — Geltungsbereich</w:t>
      </w:r>
    </w:p>
    <w:p>
      <w:r>
        <w:rPr>
          <w:color w:val="555555"/>
          <w:sz w:val="18"/>
        </w:rPr>
        <w:t xml:space="preserve">Justizverwaltungskostengesetz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Dieses Gesetz gilt für die Erhebung von Kosten (Gebühren und Auslagen) durch die Justizbehörden des Bundes in Justizverwaltungsangelegenheiten, soweit nichts anderes bestimmt ist.</w:t>
      </w:r>
    </w:p>
    <w:p>
      <w:r>
        <w:t xml:space="preserve">(2) Dieses Gesetz gilt für die Justizbehörden der Länder in folgenden Justizverwaltungsangelegenheiten:</w:t>
      </w:r>
    </w:p>
    <w:p>
      <w:pPr>
        <w:ind w:left="420"/>
      </w:pPr>
      <w:r>
        <w:t xml:space="preserve">1. Befreiung von der Beibringung des Ehefähigkeitszeugnisses (§ 1309 Absatz 2 des Bürgerlichen Gesetzbuchs),</w:t>
      </w:r>
    </w:p>
    <w:p>
      <w:pPr>
        <w:ind w:left="420"/>
      </w:pPr>
      <w:r>
        <w:t xml:space="preserve">2. Anerkennung ausländischer Entscheidungen in Ehesachen (§ 107 des Gesetzes über das Verfahren in Familiensachen und in den Angelegenheiten der freiwilligen Gerichtsbarkeit),</w:t>
      </w:r>
    </w:p>
    <w:p>
      <w:pPr>
        <w:ind w:left="420"/>
      </w:pPr>
      <w:r>
        <w:t xml:space="preserve">3. (weggefallen)</w:t>
      </w:r>
    </w:p>
    <w:p>
      <w:pPr>
        <w:ind w:left="420"/>
      </w:pPr>
      <w:r>
        <w:t xml:space="preserve">4. Einstellung von Schutzschriften in das Schutzschriftenregister,</w:t>
      </w:r>
    </w:p>
    <w:p>
      <w:pPr>
        <w:ind w:left="420"/>
      </w:pPr>
      <w:r>
        <w:t xml:space="preserve">5. automatisiertes Abrufverfahren in Grundbuchangelegenheiten, in Angelegenheiten der Schiffsregister, des Schiffsbauregisters und des Registers für Pfandrechte an Luftfahrzeugen,</w:t>
      </w:r>
    </w:p>
    <w:p>
      <w:pPr>
        <w:ind w:left="420"/>
      </w:pPr>
      <w:r>
        <w:t xml:space="preserve">6. Rechtshilfeverkehr mit dem Ausland in zivilrechtlichen Angelegenheiten sowie</w:t>
      </w:r>
    </w:p>
    <w:p>
      <w:pPr>
        <w:ind w:left="420"/>
      </w:pPr>
      <w:r>
        <w:t xml:space="preserve">7. besondere Mahnung nach § 5 Absatz 2 des Justizbeitreibungsgesetzes.</w:t>
      </w:r>
    </w:p>
    <w:p>
      <w:r>
        <w:t xml:space="preserve">Im Fall des Satzes 1 Nummer 7 steht eine andere Behörde, die nach § 2 Absatz 1 Satz 2 und 3 des Justizbeitreibungsgesetzes an die Stelle der Gerichtskasse tritt, einer Justizbehörde gleich.</w:t>
      </w:r>
    </w:p>
    <w:p>
      <w:r>
        <w:t xml:space="preserve">(3) Dieses Gesetz gilt ferner für den Rechtshilfeverkehr in strafrechtlichen Angelegenheiten mit dem Ausland, mit einem internationalen Strafgerichtshof und mit anderen zwischen- und überstaatlichen Einrichtungen einschließlich der gerichtlichen Verfahren.</w:t>
      </w:r>
    </w:p>
    <w:p>
      <w:r>
        <w:t xml:space="preserve">(4) Die Vorschriften dieses Gesetzes über das gerichtliche Verfahren sind auch dann anzuwenden, wenn in Justizverwaltungsangelegenheiten der Länder die Kosten nach landesrechtlichen Vorschriften erhoben werden.</w:t>
      </w:r>
    </w:p>
    <w:p>
      <w:r>
        <w:rPr>
          <w:color w:val="555555"/>
          <w:sz w:val="17"/>
        </w:rPr>
        <w:t xml:space="preserve">Zitiervorschlag: § 1 JVKostG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https://recht.nulegal.eu/gesetze/JVKostG/1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