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JVEG — Übergangsvorschrift</w:t>
      </w:r>
    </w:p>
    <w:p>
      <w:r>
        <w:rPr>
          <w:color w:val="555555"/>
          <w:sz w:val="18"/>
        </w:rPr>
        <w:t xml:space="preserve">Justizvergütungs- und -entschädigungsgesetz</w:t>
      </w:r>
    </w:p>
    <w:p>
      <w:r>
        <w:rPr>
          <w:color w:val="555555"/>
          <w:sz w:val="18"/>
        </w:rPr>
        <w:t xml:space="preserve">Stand: 10.06.2019 (konsolidierte Textfassung, kein amtliches Inkrafttretensdatum)</w:t>
      </w:r>
    </w:p>
    <w:p>
      <w:r>
        <w:t xml:space="preserve">Die Vergütung und die Entschädigung sind nach bisherigem Recht zu berechnen, wenn der Auftrag an den Sachverständigen, Dolmetscher oder Übersetzer vor dem Inkrafttreten einer Gesetzesänderung erteilt oder der Berechtigte vor diesem Zeitpunkt herangezogen worden ist. Dies gilt auch, wenn Vorschriften geändert werden, auf die dieses Gesetz verweist.</w:t>
      </w:r>
    </w:p>
    <w:p>
      <w:r>
        <w:rPr>
          <w:color w:val="555555"/>
          <w:sz w:val="17"/>
        </w:rPr>
        <w:t xml:space="preserve">Zitiervorschlag: § 24 JVEG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https://recht.nulegal.eu/gesetze/JVEG/24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