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JVEG — Entschädigung Dritter</w:t>
      </w:r>
    </w:p>
    <w:p>
      <w:r>
        <w:rPr>
          <w:color w:val="555555"/>
          <w:sz w:val="18"/>
        </w:rPr>
        <w:t xml:space="preserve">Justizvergütungs- und -entschädigungsgesetz</w:t>
      </w:r>
    </w:p>
    <w:p>
      <w:r>
        <w:rPr>
          <w:color w:val="555555"/>
          <w:sz w:val="18"/>
        </w:rPr>
        <w:t xml:space="preserve">Stand: 23.07.2024 (konsolidierte Textfassung, kein amtliches Inkrafttretensdatum)</w:t>
      </w:r>
    </w:p>
    <w:p>
      <w:r>
        <w:t xml:space="preserve">(1) Soweit von denjenigen, die Telekommunikationsdienste erbringen oder daran mitwirken (Telekommunikationsunternehmen), Anordnungen zur Überwachung der Telekommunikation umgesetzt oder Auskünfte erteilt werden, für die in der Anlage 3 zu diesem Gesetz besondere Entschädigungen bestimmt sind, bemisst sich die Entschädigung ausschließlich nach dieser Anlage.</w:t>
      </w:r>
    </w:p>
    <w:p>
      <w:r>
        <w:t xml:space="preserve">(2) Dritte, die aufgrund einer gerichtlichen Anordnung nach § 142 Abs. 1 Satz 1 oder § 144 Abs. 1 der Zivilprozessordnung oder nach § 17 Absatz 1 oder 2 des Kapitalanleger-Musterverfahrensgesetzes Urkunden, sonstige Unterlagen oder andere Gegenstände vorlegen oder deren Inaugenscheinnahme dulden, sowie Dritte, die aufgrund eines Beweiszwecken dienenden Ersuchens der Strafverfolgungs- oder Verfolgungsbehörde</w:t>
      </w:r>
    </w:p>
    <w:p>
      <w:pPr>
        <w:ind w:left="420"/>
      </w:pPr>
      <w:r>
        <w:t xml:space="preserve">1. Gegenstände herausgeben (§ 95 Abs. 1, § 98a der Strafprozessordnung) oder die Pflicht zur Herausgabe entsprechend einer Anheimgabe der Strafverfolgungs- oder Verfolgungsbehörde abwenden oder</w:t>
      </w:r>
    </w:p>
    <w:p>
      <w:pPr>
        <w:ind w:left="420"/>
      </w:pPr>
      <w:r>
        <w:t xml:space="preserve">2. in anderen als den in Absatz 1 genannten Fällen Auskunft erteilen,</w:t>
      </w:r>
    </w:p>
    <w:p>
      <w:r>
        <w:t xml:space="preserve">werden wie Zeugen entschädigt. Bedient sich der Dritte eines Arbeitnehmers oder einer anderen Person, werden ihm die Aufwendungen dafür (§ 7) im Rahmen des § 22 ersetzt; § 19 Abs. 2 und 3 gilt entsprechend. Die Sätze 1 und 2 gelten auch in den Fällen der Ermittlung von Amts wegen nach § 26 des Gesetzes über das Verfahren in Familiensachen und in den Angelegenheiten der freiwilligen Gerichtsbarkeit, sofern der Dritte nicht kraft einer gesetzlichen Regelung zur Herausgabe oder Auskunftserteilung verpflichtet ist.</w:t>
      </w:r>
    </w:p>
    <w:p>
      <w:r>
        <w:t xml:space="preserve">(3) Die notwendige Benutzung einer eigenen Datenverarbeitungsanlage für Zwecke der Rasterfahndung wird entschädigt, wenn die Investitionssumme für die im Einzelfall benutzte Hard- und Software zusammen mehr als 10 000 Euro beträgt. Die Entschädigung beträgt</w:t>
      </w:r>
    </w:p>
    <w:p>
      <w:pPr>
        <w:ind w:left="420"/>
      </w:pPr>
      <w:r>
        <w:t xml:space="preserve">1. bei einer Investitionssumme von mehr als 10 000 bis 25 000 Euro für jede Stunde der Benutzung 5 Euro; die gesamte Benutzungsdauer ist auf volle Stunden aufzurunden;</w:t>
      </w:r>
    </w:p>
    <w:p>
      <w:pPr>
        <w:ind w:left="420"/>
      </w:pPr>
      <w:r>
        <w:t xml:space="preserve">2. bei sonstigen Datenverarbeitungsanlagen</w:t>
      </w:r>
    </w:p>
    <w:p>
      <w:pPr>
        <w:ind w:left="780"/>
      </w:pPr>
      <w:r>
        <w:t xml:space="preserve">a) neben der Entschädigung nach Absatz 2 für jede Stunde der Benutzung der Anlage bei der Entwicklung eines für den Einzelfall erforderlichen, besonderen Anwendungsprogramms 10 Euro und</w:t>
      </w:r>
    </w:p>
    <w:p>
      <w:pPr>
        <w:ind w:left="780"/>
      </w:pPr>
      <w:r>
        <w:t xml:space="preserve">b) für die übrige Dauer der Benutzung einschließlich des hierbei erforderlichen Personalaufwands ein Zehnmillionstel der Investitionssumme je Sekunde für die Zeit, in der die Zentraleinheit belegt ist (CPU-Sekunde), höchstens 0,30 Euro je CPU-Sekunde.</w:t>
      </w:r>
    </w:p>
    <w:p>
      <w:r>
        <w:t xml:space="preserve">Die Investitionssumme und die verbrauchte CPU-Zeit sind glaubhaft zu machen.</w:t>
      </w:r>
    </w:p>
    <w:p>
      <w:r>
        <w:t xml:space="preserve">(4) Der eigenen elektronischen Datenverarbeitungsanlage steht eine fremde gleich, wenn die durch die Auskunftserteilung entstandenen direkt zurechenbaren Kosten (§ 7) nicht sicher feststellbar sind.</w:t>
      </w:r>
    </w:p>
    <w:p>
      <w:r>
        <w:rPr>
          <w:color w:val="555555"/>
          <w:sz w:val="17"/>
        </w:rPr>
        <w:t xml:space="preserve">Zitiervorschlag: § 23 JVEG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https://recht.nulegal.eu/gesetze/JVEG/23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