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JVEG — Geltendmachung und Erlöschen des Anspruchs, Verjährung</w:t>
      </w:r>
    </w:p>
    <w:p>
      <w:r>
        <w:rPr>
          <w:color w:val="555555"/>
          <w:sz w:val="18"/>
        </w:rPr>
        <w:t xml:space="preserve">Justizvergütungs- und -entschädigungsgesetz</w:t>
      </w:r>
    </w:p>
    <w:p>
      <w:r>
        <w:rPr>
          <w:color w:val="555555"/>
          <w:sz w:val="18"/>
        </w:rPr>
        <w:t xml:space="preserve">Stand: 01.06.2025 (konsolidierte Textfassung, kein amtliches Inkrafttretensdatum)</w:t>
      </w:r>
    </w:p>
    <w:p>
      <w:r>
        <w:t xml:space="preserve">(1) Der Anspruch auf Vergütung oder Entschädigung erlischt, wenn er nicht binnen drei Monaten bei der Stelle, die den Berechtigten herangezogen oder beauftragt hat, geltend gemacht wird; hierüber und über den Beginn der Frist ist der Berechtigte zu belehren. Die Frist beginnt</w:t>
      </w:r>
    </w:p>
    <w:p>
      <w:pPr>
        <w:ind w:left="420"/>
      </w:pPr>
      <w:r>
        <w:t xml:space="preserve">1. im Fall der schriftlichen Begutachtung oder der Anfertigung einer Übersetzung mit Eingang des Gutachtens oder der Übersetzung bei der Stelle, die den Berechtigten beauftragt hat,</w:t>
      </w:r>
    </w:p>
    <w:p>
      <w:pPr>
        <w:ind w:left="420"/>
      </w:pPr>
      <w:r>
        <w:t xml:space="preserve">2. im Fall der Vernehmung als Sachverständiger oder Zeuge oder der Zuziehung als Dolmetscher mit Beendigung der Vernehmung oder Zuziehung,</w:t>
      </w:r>
    </w:p>
    <w:p>
      <w:pPr>
        <w:ind w:left="420"/>
      </w:pPr>
      <w:r>
        <w:t xml:space="preserve">3. bei vorzeitiger Beendigung der Heranziehung oder des Auftrags in den Fällen der Nummern 1 und 2 mit der Bekanntgabe der Erledigung an den Berechtigten,</w:t>
      </w:r>
    </w:p>
    <w:p>
      <w:pPr>
        <w:ind w:left="420"/>
      </w:pPr>
      <w:r>
        <w:t xml:space="preserve">4. in den Fällen des § 23 mit Beendigung der Maßnahme und</w:t>
      </w:r>
    </w:p>
    <w:p>
      <w:pPr>
        <w:ind w:left="420"/>
      </w:pPr>
      <w:r>
        <w:t xml:space="preserve">5. im Fall der Dienstleistung als ehrenamtlicher Richter oder Mitglied eines Ausschusses im Sinne des § 1 Abs. 4 mit Beendigung der Amtsperiode, jedoch nicht vor dem Ende der Amtstätigkeit.</w:t>
      </w:r>
    </w:p>
    <w:p>
      <w:r>
        <w:t xml:space="preserve">Wird der Berechtigte in den Fällen des Satzes 2 Nummer 1 und 2 in demselben Verfahren, im gerichtlichen Verfahren in demselben Rechtszug, mehrfach herangezogen, ist für den Beginn aller Fristen die letzte Heranziehung maßgebend. Die Frist kann auf begründeten Antrag von der in Satz 1 genannten Stelle verlängert werden; lehnt sie eine Verlängerung ab, hat sie den Antrag unverzüglich dem nach § 4 Abs. 1 für die Festsetzung der Vergütung oder Entschädigung zuständigen Gericht vorzulegen, das durch unanfechtbaren Beschluss entscheidet. Weist das Gericht den Antrag zurück, erlischt der Anspruch, wenn die Frist nach Satz 1 abgelaufen und der Anspruch nicht binnen zwei Wochen ab Bekanntgabe der Entscheidung bei der in Satz 1 genannten Stelle geltend gemacht worden ist. Wurde dem Berechtigten ein Vorschuss nach § 3 bewilligt, so erlischt der Anspruch auf Vergütung oder Entschädigung nur insoweit, als er über den bewilligten Vorschuss hinausgeht.</w:t>
      </w:r>
    </w:p>
    <w:p>
      <w:r>
        <w:t xml:space="preserve">(2) War der Berechtigte ohne sein Verschulden an der Einhaltung einer Frist nach Absatz 1 gehindert, gewährt ihm das Gericht auf Antrag Wiedereinsetzung in den vorigen Stand, wenn er innerhalb von zwei Wochen nach Beseitigung des Hindernisses den Anspruch beziffert und die Tatsachen glaubhaft macht, welche die Wiedereinsetzung begründen. Ein Fehlen des Verschuldens wird vermutet, wenn eine Belehrung nach Absatz 1 Satz 1 unterblieben oder fehlerhaft ist. Nach Ablauf eines Jahres, von dem Ende der versäumten Frist an gerechnet, kann die Wiedereinsetzung nicht mehr beantragt werden. Gegen die Ablehnung der Wiedereinsetzung findet die Beschwerde statt. Sie ist nur zulässig, wenn sie innerhalb von zwei Wochen eingelegt wird. Die Frist beginnt mit der Zustellung der Entscheidung. § 4 Abs. 4 Satz 1 bis 3 und Abs. 6 bis 8 ist entsprechend anzuwenden.</w:t>
      </w:r>
    </w:p>
    <w:p>
      <w:r>
        <w:t xml:space="preserve">(3) Der Anspruch auf Vergütung oder Entschädigung verjährt in drei Jahren nach Ablauf des Kalenderjahrs, in dem der nach Absatz 1 Satz 2 maßgebliche Zeitpunkt eingetreten ist. Auf die Verjährung sind die Vorschriften des Bürgerlichen Gesetzbuchs anzuwenden. Durch den Antrag auf gerichtliche Festsetzung (§ 4) wird die Verjährung wie durch Klageerhebung gehemmt. Die Verjährung wird nicht von Amts wegen berücksichtigt.</w:t>
      </w:r>
    </w:p>
    <w:p>
      <w:r>
        <w:t xml:space="preserve">(4) Der Anspruch auf Erstattung zu viel gezahlter Vergütung oder Entschädigung verjährt in drei Jahren nach Ablauf des Kalenderjahrs, in dem die Zahlung erfolgt ist. § 5 Abs. 3 des Gerichtskostengesetzes gilt entsprechend.</w:t>
      </w:r>
    </w:p>
    <w:p>
      <w:r>
        <w:t xml:space="preserve">(5) Im Fall des § 1 Absatz 3 ist der Anspruch bei der heranziehenden Polizei oder der anderen heranziehenden Strafverfolgungsbehörde geltend zu machen. Erfolgt die Heranziehung des Berechtigten durch eine zentrale Kontaktstelle (Absatz 2 der Allgemeinen Vorbemerkung der Anlage 3), ist der Anspruch auf Entschädigung bei dieser geltend zu machen.</w:t>
      </w:r>
    </w:p>
    <w:p>
      <w:r>
        <w:rPr>
          <w:color w:val="555555"/>
          <w:sz w:val="17"/>
        </w:rPr>
        <w:t xml:space="preserve">Zitiervorschlag: § 2 JVEG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https://recht.nulegal.eu/gesetze/JVEG/2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