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JVEGÜV (Brandenburg)</w:t>
      </w:r>
    </w:p>
    <w:p>
      <w:r>
        <w:rPr>
          <w:color w:val="555555"/>
          <w:sz w:val="18"/>
        </w:rPr>
        <w:t xml:space="preserve">Verordnung zur Übertragung der Befugnis für den Abschluss von Vereinbarungen nach § 14 des Justizvergütungs- und -entschädigungsgesetzes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 der Verkündung in Kraft.</w:t>
      </w:r>
    </w:p>
    <w:p>
      <w:r>
        <w:t xml:space="preserve">Potsdam, den</w:t>
      </w:r>
    </w:p>
    <w:p>
      <w:r>
        <w:t xml:space="preserve">30. März 2006</w:t>
      </w:r>
    </w:p>
    <w:p>
      <w:r>
        <w:t xml:space="preserve">Die Ministerin der Justiz</w:t>
      </w:r>
    </w:p>
    <w:p>
      <w:r>
        <w:t xml:space="preserve">Beate Blechinger</w:t>
      </w:r>
    </w:p>
    <w:p>
      <w:r>
        <w:rPr>
          <w:color w:val="555555"/>
          <w:sz w:val="17"/>
        </w:rPr>
        <w:t xml:space="preserve">Zitiervorschlag: § 2 JVEGÜV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https://recht.nulegal.eu/gesetze/JVEG%C3%9CV/2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