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JSS (Nordrhein-Westfalen) — Grundsatz</w:t>
      </w:r>
    </w:p>
    <w:p>
      <w:r>
        <w:rPr>
          <w:color w:val="555555"/>
          <w:sz w:val="18"/>
        </w:rPr>
        <w:t xml:space="preserve">Jugendschutzsatzung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Anbieter kann von den Sendezeitbeschränkungen für Sendungen in § 5 Abs. 4 JMStV nach Maßgabe dieser Satzung abweichen, wenn er die einzelne Sendung</w:t>
      </w:r>
    </w:p>
    <w:p>
      <w:r>
        <w:t xml:space="preserve">1. nur mit einer allein für diese verwandten Technik verschlüsselt und vorsperrt (Vorsperrung) und</w:t>
      </w:r>
    </w:p>
    <w:p>
      <w:r>
        <w:t xml:space="preserve">2. sicherstellt, dass die Freischaltung nach Maßgabe dieser Satzung nur für die Dauer der Sendung möglich ist.</w:t>
      </w:r>
    </w:p>
    <w:p>
      <w:r>
        <w:rPr>
          <w:color w:val="555555"/>
          <w:sz w:val="17"/>
        </w:rPr>
        <w:t xml:space="preserve">Zitiervorschlag: § 2 JSS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