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JSOG (Bayern)</w:t>
      </w:r>
    </w:p>
    <w:p>
      <w:r>
        <w:rPr>
          <w:color w:val="555555"/>
          <w:sz w:val="18"/>
        </w:rPr>
        <w:t xml:space="preserve">Gesetz über die sicherheits- und ordnungsrechtlichen Befugnisse der Justizbediensteten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können das Recht auf körperliche Unversehrtheit, die Freiheit der Person und die Unverletzlichkeit der Wohnung eingeschränkt werden (Art. 2 Abs. 2 Sätze 1 und 2 und Art. 13 des Grundgesetzes, Art. 102 Abs. 1 und Art. 106 Abs. 3 der Verfassung.</w:t>
      </w:r>
    </w:p>
    <w:p>
      <w:r>
        <w:t xml:space="preserve">[Amtl. Anm.:] BGBl. FN 100-1</w:t>
      </w:r>
    </w:p>
    <w:p>
      <w:r>
        <w:t xml:space="preserve">[Amtl. Anm.:] BayRS 100-1-S</w:t>
      </w:r>
    </w:p>
    <w:p>
      <w:r>
        <w:rPr>
          <w:color w:val="555555"/>
          <w:sz w:val="17"/>
        </w:rPr>
        <w:t xml:space="preserve">Zitiervorschlag: Art 2 JSOG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https://recht.nulegal.eu/gesetze/JSOG/2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