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JMBStiftG — Organe der Stiftung</w:t>
      </w:r>
    </w:p>
    <w:p>
      <w:r>
        <w:rPr>
          <w:color w:val="555555"/>
          <w:sz w:val="18"/>
        </w:rPr>
        <w:t xml:space="preserve">Gesetz zur Errichtung einer "Stiftung Jüdisches Museum Berlin"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Organe der Stiftung sind</w:t>
      </w:r>
    </w:p>
    <w:p>
      <w:pPr>
        <w:ind w:left="420"/>
      </w:pPr>
      <w:r>
        <w:t xml:space="preserve">1. der Stiftungsrat</w:t>
      </w:r>
    </w:p>
    <w:p>
      <w:pPr>
        <w:ind w:left="420"/>
      </w:pPr>
      <w:r>
        <w:t xml:space="preserve">2. der Direktor oder die Direktorin</w:t>
      </w:r>
    </w:p>
    <w:p>
      <w:pPr>
        <w:ind w:left="420"/>
      </w:pPr>
      <w:r>
        <w:t xml:space="preserve">3. der Beirat.</w:t>
      </w:r>
    </w:p>
    <w:p>
      <w:r>
        <w:rPr>
          <w:color w:val="555555"/>
          <w:sz w:val="17"/>
        </w:rPr>
        <w:t xml:space="preserve">Zitiervorschlag: § 5 JMBStiftG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https://recht.nulegal.eu/gesetze/JMBStiftG/5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