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JMBStiftG — Übernahme von Rechten und Pflichten</w:t>
      </w:r>
    </w:p>
    <w:p>
      <w:r>
        <w:rPr>
          <w:color w:val="555555"/>
          <w:sz w:val="18"/>
        </w:rPr>
        <w:t xml:space="preserve">Gesetz zur Errichtung einer "Stiftung Jüdisches Museum Berlin"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ihrem Entstehen übernimmt die "Stiftung Jüdisches Museum Berlin" die Rechte und Pflichten, welche für die zum selben Zeitpunkt aufgelöste landesunmittelbare Stiftung gleichen Namens begründet worden sind.</w:t>
      </w:r>
    </w:p>
    <w:p>
      <w:r>
        <w:t xml:space="preserve">(2) Erster Direktor der Stiftung wird der Direktor der aufgelösten Stiftung. Bis zur unverzüglichen Konstituierung des Stiftungsrates führt der Stiftungsrat der aufgelösten Stiftung kommissarisch dessen Geschäfte.</w:t>
      </w:r>
    </w:p>
    <w:p>
      <w:r>
        <w:t xml:space="preserve">(3) Für die Zeit bis zum Inkrafttreten der nach § 4 vorgesehenen Satzung findet die Verordnung des Landes Berlin über die Satzung der "Stiftung Jüdisches Museum Berlin" vom 23. Juni 1999 (GVBl. S. 359) entsprechende Anwendung.</w:t>
      </w:r>
    </w:p>
    <w:p>
      <w:r>
        <w:rPr>
          <w:color w:val="555555"/>
          <w:sz w:val="17"/>
        </w:rPr>
        <w:t xml:space="preserve">Zitiervorschlag: § 16 JMBStiftG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https://recht.nulegal.eu/gesetze/JMBStiftG/16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