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JKGBbg (Brandenburg) — Gebührenbefreiung</w:t>
      </w:r>
    </w:p>
    <w:p>
      <w:r>
        <w:rPr>
          <w:color w:val="555555"/>
          <w:sz w:val="18"/>
        </w:rPr>
        <w:t xml:space="preserve">Brandenburgisches Justizkostengesetz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Von der Zahlung von Gebühren, die die ordentlichen Gerichte in Zivilsachen und Angelegenheiten der freiwilligen Gerichtsbarkeit, die Gerichtsvollzieherinnen und Gerichtsvollzieher und die Justizverwaltungsbehörden erheben, sind befreit:</w:t>
      </w:r>
    </w:p>
    <w:p>
      <w:r>
        <w:t xml:space="preserve">Kirchen, Religionsgemeinschaften und Vereinigungen zur gemeinschaftlichen Pflege einer Weltanschauung, jeweils soweit sie die Rechtsstellung einer juristischen Person des öffentlichen Rechts haben;</w:t>
      </w:r>
    </w:p>
    <w:p>
      <w:r>
        <w:t xml:space="preserve">Gemeinden und Gemeindeverbände, sonstige Gebietskörperschaften oder Zusammenschlüsse von Gebietskörperschaften, Regional-, Zweckverbände und Ämter, jeweils soweit die Angelegenheit nicht ihre wirtschaftlichen Unternehmen im Sinne des Kommunalrechts betrifft;</w:t>
      </w:r>
    </w:p>
    <w:p>
      <w:r>
        <w:t xml:space="preserve">staatliche Hochschulen (§ 1 Abs. 1, § 2 Abs. 1 des Brandenburgischen Hochschulgesetzes), Akademien und Forschungseinrichtungen, jeweils soweit sie die Rechtsstellung einer juristischen Person des öffentlichen Rechts haben, sowie Studentenwerke (§ 78 des Brandenburgischen Hochschulgesetzes).</w:t>
      </w:r>
    </w:p>
    <w:p>
      <w:r>
        <w:t xml:space="preserve">(2) Von der Zahlung der Gebühren nach dem Gerichts- und Notarkostengesetz und der Gebühren in Justizverwaltungsangelegenheiten sind Kostenschuldner befreit, die ausschließlich und unmittelbar steuerbegünstigte Zwecke (§ 51 der Abgabenordnung) verfolgen, diese Voraussetzung durch einen Freistellungs- oder Körperschaftsteuerbescheid oder durch eine vorläufige Bescheinigung des Finanzamtes nachweisen und darlegen, daß die Angelegenheit nicht einen steuerpflichtigen wirtschaftlichen Geschäftsbetrieb betrifft.</w:t>
      </w:r>
    </w:p>
    <w:p>
      <w:r>
        <w:rPr>
          <w:color w:val="555555"/>
          <w:sz w:val="17"/>
        </w:rPr>
        <w:t xml:space="preserve">Zitiervorschlag: § 6 JKGBbg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https://recht.nulegal.eu/gesetze/JKGBbg/6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