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JHOmbStVO (Sachsen) — Auszahlung der Finanzierung</w:t>
      </w:r>
    </w:p>
    <w:p>
      <w:r>
        <w:rPr>
          <w:color w:val="555555"/>
          <w:sz w:val="18"/>
        </w:rPr>
        <w:t xml:space="preserve">Jugendhilfeombudsstellenverordnung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Auszahlung der jeweils auf die Ombudsstellen nach den §§ 1 bis 4 entfallenden Teilbeträge erfolgt in einem Gesamtbetrag quartalsweise im Voraus an die über eine Finanzierungszusage verfügenden Träger.</w:t>
      </w:r>
    </w:p>
    <w:p>
      <w:r>
        <w:rPr>
          <w:color w:val="555555"/>
          <w:sz w:val="17"/>
        </w:rPr>
        <w:t xml:space="preserve">Zitiervorschlag: § 7 JHOmbStVO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https://recht.nulegal.eu/gesetze/JHOmbStVO/7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