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JHOmbStVO (Sachsen) — Finanzierbare Sachkosten</w:t>
      </w:r>
    </w:p>
    <w:p>
      <w:r>
        <w:rPr>
          <w:color w:val="555555"/>
          <w:sz w:val="18"/>
        </w:rPr>
        <w:t xml:space="preserve">Jugendhilfeombudsstellenverordnung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Finanzierbare Sachkosten sind Aufwendungen für</w:t>
      </w:r>
    </w:p>
    <w:p>
      <w:r>
        <w:t xml:space="preserve">1. die Miete einschließlich der Nebenkosten,</w:t>
      </w:r>
    </w:p>
    <w:p>
      <w:r>
        <w:t xml:space="preserve">2. die Verwaltung,</w:t>
      </w:r>
    </w:p>
    <w:p>
      <w:r>
        <w:t xml:space="preserve">3. die Beratung, Vermittlung und Schlichtung durch die regionalen Ombudsstellen,</w:t>
      </w:r>
    </w:p>
    <w:p>
      <w:r>
        <w:t xml:space="preserve">4. die Koordination durch die überregionale Ombudsstelle.</w:t>
      </w:r>
    </w:p>
    <w:p>
      <w:r>
        <w:t xml:space="preserve">(2) Die Sachkostenerstattung erfolgt durch jährliche Pauschalbeträge in folgender Höhe:</w:t>
      </w:r>
    </w:p>
    <w:p>
      <w:r>
        <w:t xml:space="preserve">1. 33 970 Euro für jede regionale Ombudsstelle und</w:t>
      </w:r>
    </w:p>
    <w:p>
      <w:r>
        <w:t xml:space="preserve">2. 82 610 Euro für die überregionale Ombudsstelle.</w:t>
      </w:r>
    </w:p>
    <w:p>
      <w:r>
        <w:rPr>
          <w:color w:val="555555"/>
          <w:sz w:val="17"/>
        </w:rPr>
        <w:t xml:space="preserve">Zitiervorschlag: § 4 JHOmbStVO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https://recht.nulegal.eu/gesetze/JHOmbStVO/4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