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JHOmbStVO (Sachsen) — Anzahl und Standorte der Ombudsstellen</w:t>
      </w:r>
    </w:p>
    <w:p>
      <w:r>
        <w:rPr>
          <w:color w:val="555555"/>
          <w:sz w:val="18"/>
        </w:rPr>
        <w:t xml:space="preserve">Jugendhilfeombudsstellenverordnung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Finanziert nach § 19a des Landesjugendhilfegesetzes werden eine überregionale Ombudsstelle und drei regionale Ombudsstellen.</w:t>
      </w:r>
    </w:p>
    <w:p>
      <w:r>
        <w:t xml:space="preserve">(2) Die Zuständigkeit der regionalen Ombudsstellen richtet sich nach den zu versorgenden Gebieten der Landkreise und Kreisfreien Städte. Es werden folgende Zuständigkeitsbereiche gebildet:</w:t>
      </w:r>
    </w:p>
    <w:p>
      <w:r>
        <w:t xml:space="preserve">1. Landeshauptstadt Dresden mit den Landkreisen Meißen, Sächsische Schweiz-Osterzgebirge, Bautzen und Görlitz,</w:t>
      </w:r>
    </w:p>
    <w:p>
      <w:r>
        <w:t xml:space="preserve">2. Kreisfreie Stadt Chemnitz mit den Landkreisen Vogtlandkreis, Zwickau, Erzgebirgskreis und Mittelsachsen,</w:t>
      </w:r>
    </w:p>
    <w:p>
      <w:r>
        <w:t xml:space="preserve">3. Kreisfreie Stadt Leipzig mit den Landkreisen Leipzig und Nordsachsen.</w:t>
      </w:r>
    </w:p>
    <w:p>
      <w:r>
        <w:t xml:space="preserve">Der Standort jeder regionalen Ombudsstelle ist innerhalb ihres Zuständigkeitsbereichs frei wählbar. Er soll, dem Versorgungsauftrag entsprechend, gut erreichbar sein.</w:t>
      </w:r>
    </w:p>
    <w:p>
      <w:r>
        <w:rPr>
          <w:color w:val="555555"/>
          <w:sz w:val="17"/>
        </w:rPr>
        <w:t xml:space="preserve">Zitiervorschlag: § 1 JHOmbStVO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https://recht.nulegal.eu/gesetze/JHOmbStVO/1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