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99 JGG — Entscheidung</w:t>
      </w:r>
    </w:p>
    <w:p>
      <w:r>
        <w:rPr>
          <w:color w:val="555555"/>
          <w:sz w:val="18"/>
        </w:rPr>
        <w:t xml:space="preserve">Jugendgerichtsgesetz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Jugendrichter entscheidet durch Beschluß.</w:t>
      </w:r>
    </w:p>
    <w:p>
      <w:r>
        <w:t xml:space="preserve">(2) Hält er die Voraussetzungen für eine Beseitigung des Strafmakels noch nicht für gegeben, so kann er die Entscheidung um höchstens zwei Jahre aufschieben.</w:t>
      </w:r>
    </w:p>
    <w:p>
      <w:r>
        <w:t xml:space="preserve">(3) Gegen den Beschluß ist sofortige Beschwerde zulässig.</w:t>
      </w:r>
    </w:p>
    <w:p>
      <w:r>
        <w:rPr>
          <w:color w:val="555555"/>
          <w:sz w:val="17"/>
        </w:rPr>
        <w:t xml:space="preserve">Zitiervorschlag: § 99 JGG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https://recht.nulegal.eu/gesetze/JGG/99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