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JGG — Gerichtliche Zuständigkeit und gerichtliches Verfahren bei Maßnahmen, die der vorherigen gerichtlichen Anordnung oder der gerichtlichen Genehmigung bedürfen</w:t>
      </w:r>
    </w:p>
    <w:p>
      <w:r>
        <w:rPr>
          <w:color w:val="555555"/>
          <w:sz w:val="18"/>
        </w:rPr>
        <w:t xml:space="preserve">Jugendgerichtsgesetz</w:t>
      </w:r>
    </w:p>
    <w:p>
      <w:r>
        <w:rPr>
          <w:color w:val="555555"/>
          <w:sz w:val="18"/>
        </w:rPr>
        <w:t xml:space="preserve">Stand: 25.12.2019 (konsolidierte Textfassung, kein amtliches Inkrafttretensdatum)</w:t>
      </w:r>
    </w:p>
    <w:p>
      <w:r>
        <w:t xml:space="preserve">Beim Vollzug des Jugendarrestes, der Jugendstrafe und der Maßregeln der Unterbringung in einem psychiatrischen Krankenhaus oder in einer Entziehungsanstalt oder in der Sicherungsverwahrung ist, soweit nach den Vollzugsgesetzen eine Maßnahme der vorherigen gerichtlichen Anordnung oder der gerichtlichen Genehmigung bedarf, das Amtsgericht zuständig, in dessen Bezirk die Maßnahme durchgeführt wird. Unterhält ein Land eine Einrichtung für den Vollzug der in Satz 1 genannten Freiheitsentziehung auf dem Gebiet eines anderen Landes, können die beteiligten Länder vereinbaren, dass das Amtsgericht zuständig ist, in dessen Bezirk die für die Einrichtung zuständige Aufsichtsbehörde ihren Sitz hat. Für das Verfahren gelten § 121b des Strafvollzugsgesetzes sowie § 67 Absatz 1, 2 und 5 sowie § 67a Absatz 1, 3 und 5 entsprechend.</w:t>
      </w:r>
    </w:p>
    <w:p>
      <w:r>
        <w:rPr>
          <w:color w:val="555555"/>
          <w:sz w:val="17"/>
        </w:rPr>
        <w:t xml:space="preserve">Zitiervorschlag: § 93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