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JGG — Adhäsionsverfahren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07.07.2021 (konsolidierte Textfassung, kein amtliches Inkrafttretensdatum)</w:t>
      </w:r>
    </w:p>
    <w:p>
      <w:r>
        <w:t xml:space="preserve">Die Vorschriften der Strafprozeßordnung über das Adhäsionsverfahren (§§ 403 bis 406c der Strafprozeßordnung) werden im Verfahren gegen einen Jugendlichen nicht angewendet.</w:t>
      </w:r>
    </w:p>
    <w:p>
      <w:r>
        <w:rPr>
          <w:color w:val="555555"/>
          <w:sz w:val="17"/>
        </w:rPr>
        <w:t xml:space="preserve">Zitiervorschlag: § 81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