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JGG — Voraussetzungen des vereinfachten Jugendverfahrens</w:t>
      </w:r>
    </w:p>
    <w:p>
      <w:r>
        <w:rPr>
          <w:color w:val="555555"/>
          <w:sz w:val="18"/>
        </w:rPr>
        <w:t xml:space="preserve">Jugendgerichtsgesetz</w:t>
      </w:r>
    </w:p>
    <w:p>
      <w:r>
        <w:rPr>
          <w:color w:val="555555"/>
          <w:sz w:val="18"/>
        </w:rPr>
        <w:t xml:space="preserve">Stand: 29.04.2020 (konsolidierte Textfassung, kein amtliches Inkrafttretensdatum)</w:t>
      </w:r>
    </w:p>
    <w:p>
      <w:r>
        <w:t xml:space="preserve">Der Staatsanwalt kann bei dem Jugendrichter schriftlich oder mündlich beantragen, im vereinfachten Jugendverfahren zu entscheiden, wenn zu erwarten ist, daß der Jugendrichter ausschließlich Weisungen erteilen, Hilfe zur Erziehung im Sinne des § 12 Nr. 1 anordnen, Zuchtmittel verhängen, auf ein Fahrverbot erkennen, die Fahrerlaubnis entziehen und eine Sperre von nicht mehr als zwei Jahren festsetzen oder die Einziehung aussprechen wird. Der Antrag des Staatsanwalts steht der Anklage gleich.</w:t>
      </w:r>
    </w:p>
    <w:p>
      <w:r>
        <w:rPr>
          <w:color w:val="555555"/>
          <w:sz w:val="17"/>
        </w:rPr>
        <w:t xml:space="preserve">Zitiervorschlag: § 76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