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JGG — Beistand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kann dem Beschuldigten in jeder Lage des Verfahrens einen Beistand bestellen, wenn kein Fall der notwendigen Verteidigung vorliegt.</w:t>
      </w:r>
    </w:p>
    <w:p>
      <w:r>
        <w:t xml:space="preserve">(2) Der Erziehungsberechtigte und der gesetzliche Vertreter dürfen nicht zum Beistand bestellt werden, wenn hierdurch ein Nachteil für die Erziehung zu erwarten wäre.</w:t>
      </w:r>
    </w:p>
    <w:p>
      <w:r>
        <w:t xml:space="preserve">(3) Dem Beistand kann Akteneinsicht gewährt werden. Im übrigen hat er in der Hauptverhandlung die Rechte eines Verteidigers. Zu einer Vertretung des Angeklagten ist er nicht befugt.</w:t>
      </w:r>
    </w:p>
    <w:p>
      <w:r>
        <w:rPr>
          <w:color w:val="555555"/>
          <w:sz w:val="17"/>
        </w:rPr>
        <w:t xml:space="preserve">Zitiervorschlag: § 69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