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JGG — Bewährungsplan</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Vorsitzende stellt die erteilten Weisungen und Auflagen in einem Bewährungsplan zusammen. Er händigt ihn dem Jugendlichen aus und belehrt ihn zugleich über die Bedeutung der Aussetzung, die Bewährungs- und Unterstellungszeit, die Weisungen und Auflagen sowie über die Möglichkeit des Widerrufs der Aussetzung. Zugleich ist ihm aufzugeben, jeden Wechsel seines Aufenthalts, Ausbildungs- oder Arbeitsplatzes während der Bewährungszeit anzuzeigen. Auch bei nachträglichen Änderungen des Bewährungsplans ist der Jugendliche über den wesentlichen Inhalt zu belehren.</w:t>
      </w:r>
    </w:p>
    <w:p>
      <w:r>
        <w:t xml:space="preserve">(2) Der Name des Bewährungshelfers wird in den Bewährungsplan eingetragen.</w:t>
      </w:r>
    </w:p>
    <w:p>
      <w:r>
        <w:t xml:space="preserve">(3) Der Jugendliche soll durch seine Unterschrift bestätigen, daß er den Bewährungsplan gelesen hat, und versprechen, daß er den Weisungen und Auflagen nachkommen will. Auch der Erziehungsberechtigte und der gesetzliche Vertreter sollen den Bewährungsplan unterzeichnen.</w:t>
      </w:r>
    </w:p>
    <w:p>
      <w:r>
        <w:rPr>
          <w:color w:val="555555"/>
          <w:sz w:val="17"/>
        </w:rPr>
        <w:t xml:space="preserve">Zitiervorschlag: § 60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