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JGG — Urteilsgründe</w:t>
      </w:r>
    </w:p>
    <w:p>
      <w:r>
        <w:rPr>
          <w:color w:val="555555"/>
          <w:sz w:val="18"/>
        </w:rPr>
        <w:t xml:space="preserve">Jugendgerichtsgesetz</w:t>
      </w:r>
    </w:p>
    <w:p>
      <w:r>
        <w:rPr>
          <w:color w:val="555555"/>
          <w:sz w:val="18"/>
        </w:rPr>
        <w:t xml:space="preserve">Stand: 10.06.2019 (konsolidierte Textfassung, kein amtliches Inkrafttretensdatum)</w:t>
      </w:r>
    </w:p>
    <w:p>
      <w:r>
        <w:t xml:space="preserve">(1) Wird der Angeklagte schuldig gesprochen, so wird in den Urteilsgründen auch ausgeführt, welche Umstände für seine Bestrafung, für die angeordneten Maßnahmen, für die Überlassung ihrer Auswahl und Anordnung an das Familiengericht oder für das Absehen von Zuchtmitteln und Strafe bestimmend waren. Dabei soll namentlich die seelische, geistige und körperliche Eigenart des Angeklagten berücksichtigt werden.</w:t>
      </w:r>
    </w:p>
    <w:p>
      <w:r>
        <w:t xml:space="preserve">(2) Die Urteilsgründe werden dem Angeklagten nicht mitgeteilt, soweit davon Nachteile für die Erziehung zu befürchten sind.</w:t>
      </w:r>
    </w:p>
    <w:p>
      <w:r>
        <w:rPr>
          <w:color w:val="555555"/>
          <w:sz w:val="17"/>
        </w:rPr>
        <w:t xml:space="preserve">Zitiervorschlag: § 54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