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50 JGG — Anwesenheit in der Hauptverhandlung</w:t>
      </w:r>
    </w:p>
    <w:p>
      <w:r>
        <w:rPr>
          <w:color w:val="555555"/>
          <w:sz w:val="18"/>
        </w:rPr>
        <w:t xml:space="preserve">Jugendgerichtsgesetz</w:t>
      </w:r>
    </w:p>
    <w:p>
      <w:r>
        <w:rPr>
          <w:color w:val="555555"/>
          <w:sz w:val="18"/>
        </w:rPr>
        <w:t xml:space="preserve">Stand: 25.12.2019 (konsolidierte Textfassung, kein amtliches Inkrafttretensdatum)</w:t>
      </w:r>
    </w:p>
    <w:p>
      <w:r>
        <w:t xml:space="preserve">(1) Die Hauptverhandlung kann nur dann ohne den Angeklagten stattfinden, wenn dies im allgemeinen Verfahren zulässig wäre, besondere Gründe dafür vorliegen und die Jugendstaatsanwaltschaft zustimmt.</w:t>
      </w:r>
    </w:p>
    <w:p>
      <w:r>
        <w:t xml:space="preserve">(2) Der Vorsitzende soll auch die Ladung der Erziehungsberechtigten und der gesetzlichen Vertreter anordnen. Die Vorschriften über die Ladung, die Folgen des Ausbleibens und die Entschädigung von Zeugen gelten entsprechend.</w:t>
      </w:r>
    </w:p>
    <w:p>
      <w:r>
        <w:t xml:space="preserve">(3) Der Jugendgerichtshilfe sind Ort und Zeit der Hauptverhandlung in angemessener Frist vor dem vorgesehenen Termin mitzuteilen. Der Vertreter der Jugendgerichtshilfe erhält in der Hauptverhandlung auf Verlangen das Wort. Ist kein Vertreter der Jugendgerichtshilfe anwesend, kann unter den Voraussetzungen des § 38 Absatz 7 Satz 1 ein schriftlicher Bericht der Jugendgerichtshilfe in der Hauptverhandlung verlesen werden.</w:t>
      </w:r>
    </w:p>
    <w:p>
      <w:r>
        <w:t xml:space="preserve">(4) Nimmt ein bestellter Bewährungshelfer an der Hauptverhandlung teil, so soll er zu der Entwicklung des Jugendlichen in der Bewährungszeit gehört werden. Satz 1 gilt für einen bestellten Betreuungshelfer und den Leiter eines sozialen Trainingskurses, an dem der Jugendliche teilnimmt, entsprechend.</w:t>
      </w:r>
    </w:p>
    <w:p>
      <w:r>
        <w:rPr>
          <w:color w:val="555555"/>
          <w:sz w:val="17"/>
        </w:rPr>
        <w:t xml:space="preserve">Zitiervorschlag: § 50 JGG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https://recht.nulegal.eu/gesetze/JGG/50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