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JGG — Die Folgen der Jugendstraftat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Anlaß der Straftat eines Jugendlichen können Erziehungsmaßregeln angeordnet werden.</w:t>
      </w:r>
    </w:p>
    <w:p>
      <w:r>
        <w:t xml:space="preserve">(2) Die Straftat eines Jugendlichen wird mit Zuchtmitteln oder mit Jugendstrafe geahndet, wenn Erziehungsmaßregeln nicht ausreichen.</w:t>
      </w:r>
    </w:p>
    <w:p>
      <w:r>
        <w:t xml:space="preserve">(3) Von Zuchtmitteln und Jugendstrafe wird abgesehen, wenn die Unterbringung in einem psychiatrischen Krankenhaus oder einer Entziehungsanstalt die Ahndung durch den Richter entbehrlich macht.</w:t>
      </w:r>
    </w:p>
    <w:p>
      <w:r>
        <w:rPr>
          <w:color w:val="555555"/>
          <w:sz w:val="17"/>
        </w:rPr>
        <w:t xml:space="preserve">Zitiervorschlag: § 5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