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JGG — Sachliche Zuständigkeit der Jugendkammer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Jugendkammer ist als erkennendes Gericht des ersten Rechtszuges zuständig in Sachen,</w:t>
      </w:r>
    </w:p>
    <w:p>
      <w:pPr>
        <w:ind w:left="420"/>
      </w:pPr>
      <w:r>
        <w:t xml:space="preserve">1. die nach den allgemeinen Vorschriften einschließlich der Regelung des § 74e des Gerichtsverfassungsgesetzes zur Zuständigkeit des Schwurgerichts gehören,</w:t>
      </w:r>
    </w:p>
    <w:p>
      <w:pPr>
        <w:ind w:left="420"/>
      </w:pPr>
      <w:r>
        <w:t xml:space="preserve">2. die sie nach Vorlage durch das Jugendschöffengericht wegen ihres besonderen Umfangs übernimmt (§ 40 Abs. 2),</w:t>
      </w:r>
    </w:p>
    <w:p>
      <w:pPr>
        <w:ind w:left="420"/>
      </w:pPr>
      <w:r>
        <w:t xml:space="preserve">3. die nach § 103 gegen Jugendliche und Erwachsene verbunden sind, wenn für die Erwachsenen nach allgemeinen Vorschriften eine große Strafkammer zuständig wäre,</w:t>
      </w:r>
    </w:p>
    <w:p>
      <w:pPr>
        <w:ind w:left="420"/>
      </w:pPr>
      <w:r>
        <w:t xml:space="preserve">4. bei denen die Staatsanwaltschaft wegen der besonderen Schutzbedürftigkeit von Verletzten der Straftat, die als Zeugen in Betracht kommen, Anklage bei der Jugendkammer erhebt und</w:t>
      </w:r>
    </w:p>
    <w:p>
      <w:pPr>
        <w:ind w:left="420"/>
      </w:pPr>
      <w:r>
        <w:t xml:space="preserve">5. bei denen dem Beschuldigten eine Tat der in § 7 Abs. 2 bezeichneten Art vorgeworfen wird und eine höhere Strafe als fünf Jahre Jugendstrafe oder die Unterbringung in einem psychiatrischen Krankenhaus zu erwarten ist.</w:t>
      </w:r>
    </w:p>
    <w:p>
      <w:r>
        <w:t xml:space="preserve">(2) Die Jugendkammer ist außerdem zuständig für die Verhandlung und Entscheidung über das Rechtsmittel der Berufung gegen die Urteile des Jugendrichters und des Jugendschöffengerichts. Sie trifft auch die in § 73 Abs. 1 des Gerichtsverfassungsgesetzes bezeichneten Entscheidungen.</w:t>
      </w:r>
    </w:p>
    <w:p>
      <w:r>
        <w:rPr>
          <w:color w:val="555555"/>
          <w:sz w:val="17"/>
        </w:rPr>
        <w:t xml:space="preserve">Zitiervorschlag: § 41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