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JGG — Sachliche Zuständigkeit des Jugendrichters</w:t>
      </w:r>
    </w:p>
    <w:p>
      <w:r>
        <w:rPr>
          <w:color w:val="555555"/>
          <w:sz w:val="18"/>
        </w:rPr>
        <w:t xml:space="preserve">Jugendgerichtsgesetz</w:t>
      </w:r>
    </w:p>
    <w:p>
      <w:r>
        <w:rPr>
          <w:color w:val="555555"/>
          <w:sz w:val="18"/>
        </w:rPr>
        <w:t xml:space="preserve">Stand: 10.06.2019 (konsolidierte Textfassung, kein amtliches Inkrafttretensdatum)</w:t>
      </w:r>
    </w:p>
    <w:p>
      <w:r>
        <w:t xml:space="preserve">(1) Der Jugendrichter ist zuständig für Verfehlungen Jugendlicher, wenn nur Erziehungsmaßregeln, Zuchtmittel, nach diesem Gesetz zulässige Nebenstrafen und Nebenfolgen oder die Entziehung der Fahrerlaubnis zu erwarten sind und der Staatsanwalt Anklage beim Strafrichter erhebt. Der Jugendrichter ist nicht zuständig in Sachen, die nach § 103 gegen Jugendliche und Erwachsene verbunden sind, wenn für die Erwachsenen nach allgemeinen Vorschriften der Richter beim Amtsgericht nicht zuständig wäre. § 209 Abs. 2 der Strafprozeßordnung gilt entsprechend.</w:t>
      </w:r>
    </w:p>
    <w:p>
      <w:r>
        <w:t xml:space="preserve">(2) Der Jugendrichter darf auf Jugendstrafe von mehr als einem Jahr nicht erkennen; die Unterbringung in einem psychiatrischen Krankenhaus darf er nicht anordnen.</w:t>
      </w:r>
    </w:p>
    <w:p>
      <w:r>
        <w:rPr>
          <w:color w:val="555555"/>
          <w:sz w:val="17"/>
        </w:rPr>
        <w:t xml:space="preserve">Zitiervorschlag: § 39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