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JGG — Form und Voraussetzungen</w:t>
      </w:r>
    </w:p>
    <w:p>
      <w:r>
        <w:rPr>
          <w:color w:val="555555"/>
          <w:sz w:val="18"/>
        </w:rPr>
        <w:t xml:space="preserve">Jugendgerichtsgesetz</w:t>
      </w:r>
    </w:p>
    <w:p>
      <w:r>
        <w:rPr>
          <w:color w:val="555555"/>
          <w:sz w:val="18"/>
        </w:rPr>
        <w:t xml:space="preserve">Stand: 10.06.2019 (konsolidierte Textfassung, kein amtliches Inkrafttretensdatum)</w:t>
      </w:r>
    </w:p>
    <w:p>
      <w:r>
        <w:t xml:space="preserve">(1) Die Jugendstrafe ist Freiheitsentzug in einer für ihren Vollzug vorgesehenen Einrichtung.</w:t>
      </w:r>
    </w:p>
    <w:p>
      <w:r>
        <w:t xml:space="preserve">(2) Der Richter verhängt Jugendstrafe, wenn wegen der schädlichen Neigungen des Jugendlichen, die in der Tat hervorgetreten sind, Erziehungsmaßregeln oder Zuchtmittel zur Erziehung nicht ausreichen oder wenn wegen der Schwere der Schuld Strafe erforderlich ist.</w:t>
      </w:r>
    </w:p>
    <w:p>
      <w:r>
        <w:rPr>
          <w:color w:val="555555"/>
          <w:sz w:val="17"/>
        </w:rPr>
        <w:t xml:space="preserve">Zitiervorschlag: § 17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