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JGG — Hilfe zur Erziehung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kann dem Jugendlichen nach Anhörung des Jugendamts auch auferlegen, unter den im Achten Buch Sozialgesetzbuch genannten Voraussetzungen Hilfe zur Erziehung</w:t>
      </w:r>
    </w:p>
    <w:p>
      <w:pPr>
        <w:ind w:left="420"/>
      </w:pPr>
      <w:r>
        <w:t xml:space="preserve">1. in Form der Erziehungsbeistandschaft im Sinne des § 30 des Achten Buches Sozialgesetzbuch oder</w:t>
      </w:r>
    </w:p>
    <w:p>
      <w:pPr>
        <w:ind w:left="420"/>
      </w:pPr>
      <w:r>
        <w:t xml:space="preserve">2. in einer Einrichtung über Tag und Nacht oder in einer sonstigen betreuten Wohnform im Sinne des § 34 des Achten Buches Sozialgesetzbuch</w:t>
      </w:r>
    </w:p>
    <w:p>
      <w:r>
        <w:t xml:space="preserve">in Anspruch zu nehmen.</w:t>
      </w:r>
    </w:p>
    <w:p>
      <w:r>
        <w:rPr>
          <w:color w:val="555555"/>
          <w:sz w:val="17"/>
        </w:rPr>
        <w:t xml:space="preserve">Zitiervorschlag: § 12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