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105 JGG — Anwendung des Jugendstrafrechts auf Heranwachsende</w:t>
      </w:r>
    </w:p>
    <w:p>
      <w:r>
        <w:rPr>
          <w:color w:val="555555"/>
          <w:sz w:val="18"/>
        </w:rPr>
        <w:t xml:space="preserve">Jugendgerichtsgesetz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Begeht ein Heranwachsender eine Verfehlung, die nach den allgemeinen Vorschriften mit Strafe bedroht ist, so wendet der Richter die für einen Jugendlichen geltenden Vorschriften der §§ 4 bis 8, 9 Nr. 1, §§ 10, 11 und 13 bis 32 entsprechend an, wenn</w:t>
      </w:r>
    </w:p>
    <w:p>
      <w:pPr>
        <w:ind w:left="420"/>
      </w:pPr>
      <w:r>
        <w:t xml:space="preserve">1. die Gesamtwürdigung der Persönlichkeit des Täters bei Berücksichtigung auch der Umweltbedingungen ergibt, daß er zur Zeit der Tat nach seiner sittlichen und geistigen Entwicklung noch einem Jugendlichen gleichstand, oder</w:t>
      </w:r>
    </w:p>
    <w:p>
      <w:pPr>
        <w:ind w:left="420"/>
      </w:pPr>
      <w:r>
        <w:t xml:space="preserve">2. es sich nach der Art, den Umständen oder den Beweggründen der Tat um eine Jugendverfehlung handelt.</w:t>
      </w:r>
    </w:p>
    <w:p>
      <w:r>
        <w:t xml:space="preserve">(2) § 31 Abs. 2 Satz 1, Abs. 3 ist auch dann anzuwenden, wenn der Heranwachsende wegen eines Teils der Straftaten bereits rechtskräftig nach allgemeinem Strafrecht verurteilt worden ist.</w:t>
      </w:r>
    </w:p>
    <w:p>
      <w:r>
        <w:t xml:space="preserve">(3) Das Höchstmaß der Jugendstrafe für Heranwachsende beträgt zehn Jahre. Handelt es sich bei der Tat um Mord und reicht das Höchstmaß nach Satz 1 wegen der besonderen Schwere der Schuld nicht aus, so ist das Höchstmaß 15 Jahre.</w:t>
      </w:r>
    </w:p>
    <w:p>
      <w:r>
        <w:rPr>
          <w:color w:val="555555"/>
          <w:sz w:val="17"/>
        </w:rPr>
        <w:t xml:space="preserve">Zitiervorschlag: § 105 JGG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https://recht.nulegal.eu/gesetze/JGG/105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